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DC" w:rsidRPr="0054053A" w:rsidRDefault="0061691B" w:rsidP="00B77ABF">
      <w:pPr>
        <w:pStyle w:val="Heading1"/>
        <w:spacing w:before="0" w:after="0"/>
        <w:rPr>
          <w:i w:val="0"/>
          <w:sz w:val="24"/>
          <w:szCs w:val="24"/>
        </w:rPr>
      </w:pPr>
      <w:r w:rsidRPr="0054053A">
        <w:rPr>
          <w:i w:val="0"/>
          <w:sz w:val="24"/>
          <w:szCs w:val="24"/>
        </w:rPr>
        <w:t>University of Tennessee</w:t>
      </w:r>
    </w:p>
    <w:p w:rsidR="000B7CB6" w:rsidRPr="0054053A" w:rsidRDefault="0061691B" w:rsidP="000B7CB6">
      <w:pPr>
        <w:pStyle w:val="Heading1"/>
        <w:spacing w:before="0"/>
        <w:rPr>
          <w:i w:val="0"/>
          <w:sz w:val="24"/>
          <w:szCs w:val="24"/>
        </w:rPr>
      </w:pPr>
      <w:r w:rsidRPr="0054053A">
        <w:rPr>
          <w:i w:val="0"/>
          <w:sz w:val="24"/>
          <w:szCs w:val="24"/>
        </w:rPr>
        <w:t>CBO</w:t>
      </w:r>
      <w:r w:rsidR="000B7CB6" w:rsidRPr="0054053A">
        <w:rPr>
          <w:i w:val="0"/>
          <w:sz w:val="24"/>
          <w:szCs w:val="24"/>
        </w:rPr>
        <w:t xml:space="preserve"> Meeting</w:t>
      </w:r>
    </w:p>
    <w:p w:rsidR="000B7CB6" w:rsidRPr="0054053A" w:rsidRDefault="000B317C" w:rsidP="000B7CB6">
      <w:pPr>
        <w:pStyle w:val="Heading1"/>
        <w:spacing w:before="0"/>
        <w:rPr>
          <w:i w:val="0"/>
          <w:sz w:val="24"/>
          <w:szCs w:val="24"/>
        </w:rPr>
      </w:pPr>
      <w:r w:rsidRPr="0054053A">
        <w:rPr>
          <w:i w:val="0"/>
          <w:sz w:val="24"/>
          <w:szCs w:val="24"/>
        </w:rPr>
        <w:t>Knoxville</w:t>
      </w:r>
      <w:r w:rsidR="000B7CB6" w:rsidRPr="0054053A">
        <w:rPr>
          <w:i w:val="0"/>
          <w:sz w:val="24"/>
          <w:szCs w:val="24"/>
        </w:rPr>
        <w:t>, TN</w:t>
      </w:r>
    </w:p>
    <w:p w:rsidR="00554276" w:rsidRPr="0054053A" w:rsidRDefault="009F5ABD" w:rsidP="000B7CB6">
      <w:pPr>
        <w:pStyle w:val="Date"/>
        <w:rPr>
          <w:rFonts w:ascii="Arial" w:hAnsi="Arial" w:cs="Arial"/>
          <w:b/>
        </w:rPr>
      </w:pPr>
      <w:r w:rsidRPr="0054053A">
        <w:rPr>
          <w:rFonts w:ascii="Arial" w:hAnsi="Arial" w:cs="Arial"/>
          <w:b/>
        </w:rPr>
        <w:t>September 19-20</w:t>
      </w:r>
      <w:r w:rsidR="0013389D" w:rsidRPr="0054053A">
        <w:rPr>
          <w:rFonts w:ascii="Arial" w:hAnsi="Arial" w:cs="Arial"/>
          <w:b/>
        </w:rPr>
        <w:t>, 201</w:t>
      </w:r>
      <w:r w:rsidR="0029212C" w:rsidRPr="0054053A">
        <w:rPr>
          <w:rFonts w:ascii="Arial" w:hAnsi="Arial" w:cs="Arial"/>
          <w:b/>
        </w:rPr>
        <w:t>2</w:t>
      </w:r>
    </w:p>
    <w:p w:rsidR="0054053A" w:rsidRPr="0054053A" w:rsidRDefault="00CB2557" w:rsidP="00940231">
      <w:pPr>
        <w:jc w:val="center"/>
        <w:rPr>
          <w:rFonts w:ascii="Arial" w:hAnsi="Arial" w:cs="Arial"/>
        </w:rPr>
      </w:pPr>
      <w:r w:rsidRPr="0054053A">
        <w:rPr>
          <w:rFonts w:ascii="Arial" w:hAnsi="Arial" w:cs="Arial"/>
          <w:b/>
        </w:rPr>
        <w:t>Conference Room – 8</w:t>
      </w:r>
      <w:r w:rsidRPr="0054053A">
        <w:rPr>
          <w:rFonts w:ascii="Arial" w:hAnsi="Arial" w:cs="Arial"/>
          <w:b/>
          <w:vertAlign w:val="superscript"/>
        </w:rPr>
        <w:t>th</w:t>
      </w:r>
      <w:r w:rsidRPr="0054053A">
        <w:rPr>
          <w:rFonts w:ascii="Arial" w:hAnsi="Arial" w:cs="Arial"/>
          <w:b/>
        </w:rPr>
        <w:t xml:space="preserve"> Floor of Andy Holt Tower</w:t>
      </w:r>
      <w:r w:rsidR="00940231">
        <w:rPr>
          <w:rFonts w:ascii="Arial" w:hAnsi="Arial" w:cs="Arial"/>
          <w:b/>
        </w:rPr>
        <w:br/>
      </w:r>
      <w:r w:rsidR="00940231">
        <w:rPr>
          <w:rFonts w:ascii="Arial" w:hAnsi="Arial" w:cs="Arial"/>
          <w:b/>
        </w:rPr>
        <w:br/>
      </w:r>
      <w:r w:rsidR="00940231">
        <w:rPr>
          <w:rFonts w:ascii="Arial" w:hAnsi="Arial" w:cs="Arial"/>
          <w:b/>
        </w:rPr>
        <w:br/>
      </w:r>
    </w:p>
    <w:p w:rsidR="004E43CC" w:rsidRDefault="00BB76DC" w:rsidP="00AE2077">
      <w:pPr>
        <w:rPr>
          <w:rFonts w:ascii="Arial" w:hAnsi="Arial" w:cs="Arial"/>
          <w:b/>
        </w:rPr>
      </w:pPr>
      <w:r w:rsidRPr="0054053A">
        <w:rPr>
          <w:rFonts w:ascii="Arial" w:hAnsi="Arial" w:cs="Arial"/>
          <w:b/>
        </w:rPr>
        <w:t xml:space="preserve"> </w:t>
      </w:r>
      <w:r w:rsidR="009F5ABD" w:rsidRPr="0054053A">
        <w:rPr>
          <w:rFonts w:ascii="Arial" w:hAnsi="Arial" w:cs="Arial"/>
          <w:b/>
          <w:u w:val="single"/>
        </w:rPr>
        <w:t xml:space="preserve">September 19, </w:t>
      </w:r>
      <w:r w:rsidR="0013389D" w:rsidRPr="0054053A">
        <w:rPr>
          <w:rFonts w:ascii="Arial" w:hAnsi="Arial" w:cs="Arial"/>
          <w:b/>
          <w:u w:val="single"/>
        </w:rPr>
        <w:t>201</w:t>
      </w:r>
      <w:r w:rsidR="0029212C" w:rsidRPr="0054053A">
        <w:rPr>
          <w:rFonts w:ascii="Arial" w:hAnsi="Arial" w:cs="Arial"/>
          <w:b/>
          <w:u w:val="single"/>
        </w:rPr>
        <w:t>2</w:t>
      </w:r>
      <w:r w:rsidR="00940231">
        <w:rPr>
          <w:rFonts w:ascii="Arial" w:hAnsi="Arial" w:cs="Arial"/>
          <w:b/>
          <w:u w:val="single"/>
        </w:rPr>
        <w:br/>
      </w:r>
      <w:r w:rsidR="00940231">
        <w:rPr>
          <w:rFonts w:ascii="Arial" w:hAnsi="Arial" w:cs="Arial"/>
          <w:b/>
          <w:u w:val="single"/>
        </w:rPr>
        <w:br/>
      </w:r>
      <w:r w:rsidR="00AE2077" w:rsidRPr="008B280D">
        <w:rPr>
          <w:rFonts w:ascii="Arial" w:hAnsi="Arial" w:cs="Arial"/>
          <w:b/>
        </w:rPr>
        <w:t xml:space="preserve">Joint CBO/Purchasing Meeting </w:t>
      </w:r>
      <w:r w:rsidR="004E43CC">
        <w:rPr>
          <w:rFonts w:ascii="Arial" w:hAnsi="Arial" w:cs="Arial"/>
          <w:b/>
        </w:rPr>
        <w:t>– Samantha Johnson</w:t>
      </w:r>
    </w:p>
    <w:p w:rsidR="004E43CC" w:rsidRDefault="004E43CC" w:rsidP="00AE2077">
      <w:pPr>
        <w:rPr>
          <w:rFonts w:ascii="Arial" w:hAnsi="Arial" w:cs="Arial"/>
          <w:b/>
        </w:rPr>
      </w:pPr>
    </w:p>
    <w:p w:rsidR="0062460C" w:rsidRDefault="004E43CC" w:rsidP="00AE2077">
      <w:pPr>
        <w:rPr>
          <w:rFonts w:ascii="Arial" w:hAnsi="Arial" w:cs="Arial"/>
        </w:rPr>
      </w:pPr>
      <w:r w:rsidRPr="004E43CC">
        <w:rPr>
          <w:rFonts w:ascii="Arial" w:hAnsi="Arial" w:cs="Arial"/>
        </w:rPr>
        <w:t xml:space="preserve">New AP Contract - </w:t>
      </w:r>
      <w:r w:rsidR="006C2731" w:rsidRPr="004E43CC">
        <w:rPr>
          <w:rFonts w:ascii="Arial" w:hAnsi="Arial" w:cs="Arial"/>
        </w:rPr>
        <w:t>PO Transaction – David Marks</w:t>
      </w:r>
      <w:r w:rsidR="008B280D" w:rsidRPr="004E43CC">
        <w:rPr>
          <w:rFonts w:ascii="Arial" w:hAnsi="Arial" w:cs="Arial"/>
        </w:rPr>
        <w:t>)</w:t>
      </w:r>
      <w:r w:rsidR="00504A0B">
        <w:rPr>
          <w:rFonts w:ascii="Arial" w:hAnsi="Arial" w:cs="Arial"/>
          <w:b/>
        </w:rPr>
        <w:br/>
      </w:r>
      <w:r>
        <w:rPr>
          <w:rFonts w:ascii="Arial" w:hAnsi="Arial" w:cs="Arial"/>
        </w:rPr>
        <w:t xml:space="preserve">        </w:t>
      </w:r>
      <w:r w:rsidR="0084590C">
        <w:rPr>
          <w:rFonts w:ascii="Arial" w:hAnsi="Arial" w:cs="Arial"/>
        </w:rPr>
        <w:t xml:space="preserve">A transaction for paying contracts is being implemented in IRIS.  Plan to </w:t>
      </w:r>
      <w:r w:rsidR="008B280D">
        <w:rPr>
          <w:rFonts w:ascii="Arial" w:hAnsi="Arial" w:cs="Arial"/>
        </w:rPr>
        <w:t>a</w:t>
      </w:r>
      <w:r w:rsidR="00AE2077">
        <w:rPr>
          <w:rFonts w:ascii="Arial" w:hAnsi="Arial" w:cs="Arial"/>
        </w:rPr>
        <w:t>utomat</w:t>
      </w:r>
      <w:r w:rsidR="008B280D">
        <w:rPr>
          <w:rFonts w:ascii="Arial" w:hAnsi="Arial" w:cs="Arial"/>
        </w:rPr>
        <w:t xml:space="preserve">e existing functionality; however, it will have a different document type </w:t>
      </w:r>
      <w:r>
        <w:rPr>
          <w:rFonts w:ascii="Arial" w:hAnsi="Arial" w:cs="Arial"/>
        </w:rPr>
        <w:t xml:space="preserve">and </w:t>
      </w:r>
      <w:r w:rsidR="008B280D">
        <w:rPr>
          <w:rFonts w:ascii="Arial" w:hAnsi="Arial" w:cs="Arial"/>
        </w:rPr>
        <w:t>number</w:t>
      </w:r>
      <w:r>
        <w:rPr>
          <w:rFonts w:ascii="Arial" w:hAnsi="Arial" w:cs="Arial"/>
        </w:rPr>
        <w:t xml:space="preserve"> range</w:t>
      </w:r>
      <w:r w:rsidR="008B280D">
        <w:rPr>
          <w:rFonts w:ascii="Arial" w:hAnsi="Arial" w:cs="Arial"/>
        </w:rPr>
        <w:t xml:space="preserve">. </w:t>
      </w:r>
      <w:r w:rsidR="0062460C">
        <w:rPr>
          <w:rFonts w:ascii="Arial" w:hAnsi="Arial" w:cs="Arial"/>
        </w:rPr>
        <w:t>Individuals will</w:t>
      </w:r>
      <w:r w:rsidR="00AE2077">
        <w:rPr>
          <w:rFonts w:ascii="Arial" w:hAnsi="Arial" w:cs="Arial"/>
        </w:rPr>
        <w:t xml:space="preserve"> use</w:t>
      </w:r>
      <w:r w:rsidR="0084590C">
        <w:rPr>
          <w:rFonts w:ascii="Arial" w:hAnsi="Arial" w:cs="Arial"/>
        </w:rPr>
        <w:t xml:space="preserve"> a</w:t>
      </w:r>
      <w:r w:rsidR="00AE2077">
        <w:rPr>
          <w:rFonts w:ascii="Arial" w:hAnsi="Arial" w:cs="Arial"/>
        </w:rPr>
        <w:t xml:space="preserve"> </w:t>
      </w:r>
      <w:r w:rsidR="0062460C">
        <w:rPr>
          <w:rFonts w:ascii="Arial" w:hAnsi="Arial" w:cs="Arial"/>
        </w:rPr>
        <w:t xml:space="preserve">transaction similar to MIR7 (used for POs) and will </w:t>
      </w:r>
      <w:r w:rsidR="00AE2077">
        <w:rPr>
          <w:rFonts w:ascii="Arial" w:hAnsi="Arial" w:cs="Arial"/>
        </w:rPr>
        <w:t xml:space="preserve">scan and attach </w:t>
      </w:r>
      <w:r w:rsidR="0062460C">
        <w:rPr>
          <w:rFonts w:ascii="Arial" w:hAnsi="Arial" w:cs="Arial"/>
        </w:rPr>
        <w:t xml:space="preserve">the </w:t>
      </w:r>
      <w:r w:rsidR="00AE2077">
        <w:rPr>
          <w:rFonts w:ascii="Arial" w:hAnsi="Arial" w:cs="Arial"/>
        </w:rPr>
        <w:t>documents</w:t>
      </w:r>
      <w:r w:rsidR="0062460C">
        <w:rPr>
          <w:rFonts w:ascii="Arial" w:hAnsi="Arial" w:cs="Arial"/>
        </w:rPr>
        <w:t xml:space="preserve">.  Review will route electronically through IRIS.  </w:t>
      </w:r>
      <w:r w:rsidR="008B280D">
        <w:rPr>
          <w:rFonts w:ascii="Arial" w:hAnsi="Arial" w:cs="Arial"/>
        </w:rPr>
        <w:t>UT Martin will be piloting the transaction.</w:t>
      </w:r>
      <w:r w:rsidR="00940231">
        <w:rPr>
          <w:rFonts w:ascii="Arial" w:hAnsi="Arial" w:cs="Arial"/>
        </w:rPr>
        <w:br/>
      </w:r>
      <w:r w:rsidR="00940231">
        <w:rPr>
          <w:rFonts w:ascii="Arial" w:hAnsi="Arial" w:cs="Arial"/>
        </w:rPr>
        <w:br/>
      </w:r>
      <w:r>
        <w:rPr>
          <w:rFonts w:ascii="Arial" w:hAnsi="Arial" w:cs="Arial"/>
        </w:rPr>
        <w:t xml:space="preserve">     </w:t>
      </w:r>
      <w:r w:rsidR="00AE2077">
        <w:rPr>
          <w:rFonts w:ascii="Arial" w:hAnsi="Arial" w:cs="Arial"/>
        </w:rPr>
        <w:t>Contract Approval</w:t>
      </w:r>
      <w:r w:rsidR="0062460C">
        <w:rPr>
          <w:rFonts w:ascii="Arial" w:hAnsi="Arial" w:cs="Arial"/>
        </w:rPr>
        <w:t xml:space="preserve"> Process:</w:t>
      </w:r>
    </w:p>
    <w:p w:rsidR="0062460C" w:rsidRDefault="0062460C" w:rsidP="0062460C">
      <w:pPr>
        <w:pStyle w:val="ListParagraph"/>
        <w:numPr>
          <w:ilvl w:val="1"/>
          <w:numId w:val="50"/>
        </w:numPr>
        <w:tabs>
          <w:tab w:val="left" w:pos="1710"/>
          <w:tab w:val="left" w:pos="2070"/>
        </w:tabs>
        <w:ind w:left="1440" w:firstLine="0"/>
        <w:rPr>
          <w:rFonts w:ascii="Arial" w:hAnsi="Arial" w:cs="Arial"/>
        </w:rPr>
      </w:pPr>
      <w:r>
        <w:rPr>
          <w:rFonts w:ascii="Arial" w:hAnsi="Arial" w:cs="Arial"/>
        </w:rPr>
        <w:t>Entry by department</w:t>
      </w:r>
    </w:p>
    <w:p w:rsidR="0062460C" w:rsidRDefault="0062460C" w:rsidP="0062460C">
      <w:pPr>
        <w:pStyle w:val="ListParagraph"/>
        <w:numPr>
          <w:ilvl w:val="1"/>
          <w:numId w:val="50"/>
        </w:numPr>
        <w:tabs>
          <w:tab w:val="left" w:pos="1710"/>
          <w:tab w:val="left" w:pos="2070"/>
        </w:tabs>
        <w:ind w:left="1440" w:firstLine="0"/>
        <w:rPr>
          <w:rFonts w:ascii="Arial" w:hAnsi="Arial" w:cs="Arial"/>
        </w:rPr>
      </w:pPr>
      <w:r>
        <w:rPr>
          <w:rFonts w:ascii="Arial" w:hAnsi="Arial" w:cs="Arial"/>
        </w:rPr>
        <w:t>D</w:t>
      </w:r>
      <w:r w:rsidR="00AE2077" w:rsidRPr="0062460C">
        <w:rPr>
          <w:rFonts w:ascii="Arial" w:hAnsi="Arial" w:cs="Arial"/>
        </w:rPr>
        <w:t xml:space="preserve">epartment head </w:t>
      </w:r>
      <w:r>
        <w:rPr>
          <w:rFonts w:ascii="Arial" w:hAnsi="Arial" w:cs="Arial"/>
        </w:rPr>
        <w:t>approval</w:t>
      </w:r>
    </w:p>
    <w:p w:rsidR="0062460C" w:rsidRDefault="0062460C" w:rsidP="0062460C">
      <w:pPr>
        <w:pStyle w:val="ListParagraph"/>
        <w:numPr>
          <w:ilvl w:val="1"/>
          <w:numId w:val="50"/>
        </w:numPr>
        <w:tabs>
          <w:tab w:val="left" w:pos="1710"/>
          <w:tab w:val="left" w:pos="2070"/>
        </w:tabs>
        <w:ind w:left="1440" w:firstLine="0"/>
        <w:rPr>
          <w:rFonts w:ascii="Arial" w:hAnsi="Arial" w:cs="Arial"/>
        </w:rPr>
      </w:pPr>
      <w:r>
        <w:rPr>
          <w:rFonts w:ascii="Arial" w:hAnsi="Arial" w:cs="Arial"/>
        </w:rPr>
        <w:t>CBO approval</w:t>
      </w:r>
    </w:p>
    <w:p w:rsidR="00AE2077" w:rsidRPr="0062460C" w:rsidRDefault="0062460C" w:rsidP="0062460C">
      <w:pPr>
        <w:pStyle w:val="ListParagraph"/>
        <w:numPr>
          <w:ilvl w:val="1"/>
          <w:numId w:val="50"/>
        </w:numPr>
        <w:tabs>
          <w:tab w:val="left" w:pos="1710"/>
          <w:tab w:val="left" w:pos="2070"/>
        </w:tabs>
        <w:ind w:left="1440" w:firstLine="0"/>
        <w:rPr>
          <w:rFonts w:ascii="Arial" w:hAnsi="Arial" w:cs="Arial"/>
        </w:rPr>
      </w:pPr>
      <w:r>
        <w:rPr>
          <w:rFonts w:ascii="Arial" w:hAnsi="Arial" w:cs="Arial"/>
        </w:rPr>
        <w:t xml:space="preserve">Routed to </w:t>
      </w:r>
      <w:r w:rsidR="00AE2077" w:rsidRPr="0062460C">
        <w:rPr>
          <w:rFonts w:ascii="Arial" w:hAnsi="Arial" w:cs="Arial"/>
        </w:rPr>
        <w:t>UWA accounts payable</w:t>
      </w:r>
      <w:r>
        <w:rPr>
          <w:rFonts w:ascii="Arial" w:hAnsi="Arial" w:cs="Arial"/>
        </w:rPr>
        <w:t xml:space="preserve"> for processing</w:t>
      </w:r>
    </w:p>
    <w:p w:rsidR="008B280D" w:rsidRDefault="008B280D" w:rsidP="00AE2077">
      <w:pPr>
        <w:rPr>
          <w:rFonts w:ascii="Arial" w:hAnsi="Arial" w:cs="Arial"/>
        </w:rPr>
      </w:pPr>
    </w:p>
    <w:p w:rsidR="008B280D" w:rsidRDefault="004E43CC" w:rsidP="00AE2077">
      <w:pPr>
        <w:rPr>
          <w:rFonts w:ascii="Arial" w:hAnsi="Arial" w:cs="Arial"/>
        </w:rPr>
      </w:pPr>
      <w:r>
        <w:rPr>
          <w:rFonts w:ascii="Arial" w:hAnsi="Arial" w:cs="Arial"/>
        </w:rPr>
        <w:t xml:space="preserve">     </w:t>
      </w:r>
      <w:r w:rsidR="0084590C">
        <w:rPr>
          <w:rFonts w:ascii="Arial" w:hAnsi="Arial" w:cs="Arial"/>
        </w:rPr>
        <w:t xml:space="preserve">POs will be </w:t>
      </w:r>
      <w:r w:rsidR="008B280D">
        <w:rPr>
          <w:rFonts w:ascii="Arial" w:hAnsi="Arial" w:cs="Arial"/>
        </w:rPr>
        <w:t xml:space="preserve">automatically created when </w:t>
      </w:r>
      <w:r w:rsidR="0084590C">
        <w:rPr>
          <w:rFonts w:ascii="Arial" w:hAnsi="Arial" w:cs="Arial"/>
        </w:rPr>
        <w:t xml:space="preserve">the </w:t>
      </w:r>
      <w:r w:rsidR="008B280D">
        <w:rPr>
          <w:rFonts w:ascii="Arial" w:hAnsi="Arial" w:cs="Arial"/>
        </w:rPr>
        <w:t>contract is approved for payable contracts.</w:t>
      </w:r>
    </w:p>
    <w:p w:rsidR="008B280D" w:rsidRDefault="008B280D" w:rsidP="00AE2077">
      <w:pPr>
        <w:rPr>
          <w:rFonts w:ascii="Arial" w:hAnsi="Arial" w:cs="Arial"/>
        </w:rPr>
      </w:pPr>
    </w:p>
    <w:p w:rsidR="008B280D" w:rsidRDefault="008B280D" w:rsidP="00AE2077">
      <w:pPr>
        <w:rPr>
          <w:rFonts w:ascii="Arial" w:hAnsi="Arial" w:cs="Arial"/>
        </w:rPr>
      </w:pPr>
      <w:r>
        <w:rPr>
          <w:rFonts w:ascii="Arial" w:hAnsi="Arial" w:cs="Arial"/>
        </w:rPr>
        <w:t xml:space="preserve">E-Procurement Bid – </w:t>
      </w:r>
      <w:r w:rsidR="00180048">
        <w:rPr>
          <w:rFonts w:ascii="Arial" w:hAnsi="Arial" w:cs="Arial"/>
        </w:rPr>
        <w:t>W</w:t>
      </w:r>
      <w:r w:rsidR="0084590C">
        <w:rPr>
          <w:rFonts w:ascii="Arial" w:hAnsi="Arial" w:cs="Arial"/>
        </w:rPr>
        <w:t xml:space="preserve">e were </w:t>
      </w:r>
      <w:r>
        <w:rPr>
          <w:rFonts w:ascii="Arial" w:hAnsi="Arial" w:cs="Arial"/>
        </w:rPr>
        <w:t>not successful in getting a system</w:t>
      </w:r>
      <w:r w:rsidR="0084590C">
        <w:rPr>
          <w:rFonts w:ascii="Arial" w:hAnsi="Arial" w:cs="Arial"/>
        </w:rPr>
        <w:t xml:space="preserve"> and plan to re-</w:t>
      </w:r>
      <w:r w:rsidR="002356F0">
        <w:rPr>
          <w:rFonts w:ascii="Arial" w:hAnsi="Arial" w:cs="Arial"/>
        </w:rPr>
        <w:t>bid in early October.</w:t>
      </w:r>
    </w:p>
    <w:p w:rsidR="002356F0" w:rsidRDefault="002356F0" w:rsidP="00AE2077">
      <w:pPr>
        <w:rPr>
          <w:rFonts w:ascii="Arial" w:hAnsi="Arial" w:cs="Arial"/>
        </w:rPr>
      </w:pPr>
    </w:p>
    <w:p w:rsidR="002356F0" w:rsidRDefault="002356F0" w:rsidP="00400868">
      <w:pPr>
        <w:rPr>
          <w:rFonts w:ascii="Arial" w:hAnsi="Arial" w:cs="Arial"/>
        </w:rPr>
      </w:pPr>
      <w:r>
        <w:rPr>
          <w:rFonts w:ascii="Arial" w:hAnsi="Arial" w:cs="Arial"/>
        </w:rPr>
        <w:t>Diversity R</w:t>
      </w:r>
      <w:r w:rsidR="0084590C">
        <w:rPr>
          <w:rFonts w:ascii="Arial" w:hAnsi="Arial" w:cs="Arial"/>
        </w:rPr>
        <w:t>eporting – The Governor has an Office of D</w:t>
      </w:r>
      <w:r>
        <w:rPr>
          <w:rFonts w:ascii="Arial" w:hAnsi="Arial" w:cs="Arial"/>
        </w:rPr>
        <w:t xml:space="preserve">iversity </w:t>
      </w:r>
      <w:r w:rsidR="0084590C">
        <w:rPr>
          <w:rFonts w:ascii="Arial" w:hAnsi="Arial" w:cs="Arial"/>
        </w:rPr>
        <w:t xml:space="preserve">to which </w:t>
      </w:r>
      <w:r>
        <w:rPr>
          <w:rFonts w:ascii="Arial" w:hAnsi="Arial" w:cs="Arial"/>
        </w:rPr>
        <w:t>we report all of our purchases on a quarterly basis.  They want us to use their certification process; however, we do not have the time/manpower to meet this request.  We do need to gain accuracy in determining minority vendor</w:t>
      </w:r>
      <w:r w:rsidR="00400868">
        <w:rPr>
          <w:rFonts w:ascii="Arial" w:hAnsi="Arial" w:cs="Arial"/>
        </w:rPr>
        <w:t xml:space="preserve">s.  If diversity vendors protest, the state certification </w:t>
      </w:r>
      <w:r w:rsidR="00180048">
        <w:rPr>
          <w:rFonts w:ascii="Arial" w:hAnsi="Arial" w:cs="Arial"/>
        </w:rPr>
        <w:t xml:space="preserve">process </w:t>
      </w:r>
      <w:r w:rsidR="00400868">
        <w:rPr>
          <w:rFonts w:ascii="Arial" w:hAnsi="Arial" w:cs="Arial"/>
        </w:rPr>
        <w:t>would meet the guidelines.</w:t>
      </w:r>
    </w:p>
    <w:p w:rsidR="00400868" w:rsidRDefault="00400868" w:rsidP="00400868">
      <w:pPr>
        <w:rPr>
          <w:rFonts w:ascii="Arial" w:hAnsi="Arial" w:cs="Arial"/>
        </w:rPr>
      </w:pPr>
    </w:p>
    <w:p w:rsidR="00400868" w:rsidRDefault="0084590C" w:rsidP="00400868">
      <w:pPr>
        <w:rPr>
          <w:rFonts w:ascii="Arial" w:hAnsi="Arial" w:cs="Arial"/>
        </w:rPr>
      </w:pPr>
      <w:r>
        <w:rPr>
          <w:rFonts w:ascii="Arial" w:hAnsi="Arial" w:cs="Arial"/>
        </w:rPr>
        <w:t>Credit Application L</w:t>
      </w:r>
      <w:r w:rsidR="00400868">
        <w:rPr>
          <w:rFonts w:ascii="Arial" w:hAnsi="Arial" w:cs="Arial"/>
        </w:rPr>
        <w:t xml:space="preserve">etter – </w:t>
      </w:r>
      <w:r>
        <w:rPr>
          <w:rFonts w:ascii="Arial" w:hAnsi="Arial" w:cs="Arial"/>
        </w:rPr>
        <w:t xml:space="preserve">In regards to </w:t>
      </w:r>
      <w:r w:rsidR="00400868">
        <w:rPr>
          <w:rFonts w:ascii="Arial" w:hAnsi="Arial" w:cs="Arial"/>
        </w:rPr>
        <w:t>terms</w:t>
      </w:r>
      <w:r>
        <w:rPr>
          <w:rFonts w:ascii="Arial" w:hAnsi="Arial" w:cs="Arial"/>
        </w:rPr>
        <w:t xml:space="preserve"> and </w:t>
      </w:r>
      <w:r w:rsidR="00400868">
        <w:rPr>
          <w:rFonts w:ascii="Arial" w:hAnsi="Arial" w:cs="Arial"/>
        </w:rPr>
        <w:t xml:space="preserve">conditions on credit applications, we </w:t>
      </w:r>
      <w:r>
        <w:rPr>
          <w:rFonts w:ascii="Arial" w:hAnsi="Arial" w:cs="Arial"/>
        </w:rPr>
        <w:t>issue a one-page</w:t>
      </w:r>
      <w:r w:rsidR="00400868">
        <w:rPr>
          <w:rFonts w:ascii="Arial" w:hAnsi="Arial" w:cs="Arial"/>
        </w:rPr>
        <w:t xml:space="preserve"> credit letter</w:t>
      </w:r>
      <w:r>
        <w:rPr>
          <w:rFonts w:ascii="Arial" w:hAnsi="Arial" w:cs="Arial"/>
        </w:rPr>
        <w:t xml:space="preserve"> in lieu of completing applications.</w:t>
      </w:r>
      <w:r w:rsidR="00400868">
        <w:rPr>
          <w:rFonts w:ascii="Arial" w:hAnsi="Arial" w:cs="Arial"/>
        </w:rPr>
        <w:t xml:space="preserve"> Approximately 80 percent</w:t>
      </w:r>
      <w:r>
        <w:rPr>
          <w:rFonts w:ascii="Arial" w:hAnsi="Arial" w:cs="Arial"/>
        </w:rPr>
        <w:t xml:space="preserve"> of the vendors</w:t>
      </w:r>
      <w:r w:rsidR="00400868">
        <w:rPr>
          <w:rFonts w:ascii="Arial" w:hAnsi="Arial" w:cs="Arial"/>
        </w:rPr>
        <w:t xml:space="preserve"> accept this form.  If this is denied, requests must be reviewed by the contract office.</w:t>
      </w:r>
    </w:p>
    <w:p w:rsidR="00400868" w:rsidRDefault="00400868" w:rsidP="00400868">
      <w:pPr>
        <w:rPr>
          <w:rFonts w:ascii="Arial" w:hAnsi="Arial" w:cs="Arial"/>
        </w:rPr>
      </w:pPr>
    </w:p>
    <w:p w:rsidR="0021341C" w:rsidRDefault="0021341C" w:rsidP="0021341C">
      <w:pPr>
        <w:rPr>
          <w:rFonts w:ascii="Arial" w:hAnsi="Arial" w:cs="Arial"/>
        </w:rPr>
      </w:pPr>
      <w:r>
        <w:rPr>
          <w:rFonts w:ascii="Arial" w:hAnsi="Arial" w:cs="Arial"/>
        </w:rPr>
        <w:t>Liability for Students Serving on RFP Committees – We need to make sure non-paid students are on UT’s volunteer list so they have liability coverage.  Concerning Conflict of Interest, we need to figure out a way to make sure students are not related to vendors. Health Science Center has a form they can share.</w:t>
      </w:r>
    </w:p>
    <w:p w:rsidR="00400868" w:rsidRDefault="00400868" w:rsidP="00400868">
      <w:pPr>
        <w:rPr>
          <w:rFonts w:ascii="Arial" w:hAnsi="Arial" w:cs="Arial"/>
        </w:rPr>
      </w:pPr>
    </w:p>
    <w:p w:rsidR="00400868" w:rsidRDefault="00504A0B" w:rsidP="00400868">
      <w:pPr>
        <w:rPr>
          <w:rFonts w:ascii="Arial" w:hAnsi="Arial" w:cs="Arial"/>
        </w:rPr>
      </w:pPr>
      <w:r>
        <w:rPr>
          <w:rFonts w:ascii="Arial" w:hAnsi="Arial" w:cs="Arial"/>
        </w:rPr>
        <w:t xml:space="preserve">Purchasing Involved </w:t>
      </w:r>
      <w:r w:rsidR="00400868">
        <w:rPr>
          <w:rFonts w:ascii="Arial" w:hAnsi="Arial" w:cs="Arial"/>
        </w:rPr>
        <w:t xml:space="preserve">in Evaluation Committees – </w:t>
      </w:r>
      <w:r>
        <w:rPr>
          <w:rFonts w:ascii="Arial" w:hAnsi="Arial" w:cs="Arial"/>
        </w:rPr>
        <w:t>P</w:t>
      </w:r>
      <w:r w:rsidR="00400868">
        <w:rPr>
          <w:rFonts w:ascii="Arial" w:hAnsi="Arial" w:cs="Arial"/>
        </w:rPr>
        <w:t>urchasing plans to have a form that will need to be completed and will provide training</w:t>
      </w:r>
      <w:r>
        <w:rPr>
          <w:rFonts w:ascii="Arial" w:hAnsi="Arial" w:cs="Arial"/>
        </w:rPr>
        <w:t>.</w:t>
      </w:r>
    </w:p>
    <w:p w:rsidR="0003715C" w:rsidRDefault="0003715C" w:rsidP="00400868">
      <w:pPr>
        <w:rPr>
          <w:rFonts w:ascii="Arial" w:hAnsi="Arial" w:cs="Arial"/>
        </w:rPr>
      </w:pPr>
    </w:p>
    <w:p w:rsidR="0019110A" w:rsidRDefault="0021341C" w:rsidP="00400868">
      <w:pPr>
        <w:rPr>
          <w:rFonts w:ascii="Arial" w:hAnsi="Arial" w:cs="Arial"/>
        </w:rPr>
      </w:pPr>
      <w:r>
        <w:rPr>
          <w:rFonts w:ascii="Arial" w:hAnsi="Arial" w:cs="Arial"/>
        </w:rPr>
        <w:t>Library Update – System office is working with the campus libraries to consolidate subscriptions.  By combining the bidding process, each campus can save substantial dollars.</w:t>
      </w:r>
    </w:p>
    <w:p w:rsidR="0021341C" w:rsidRDefault="0019110A" w:rsidP="0021341C">
      <w:pPr>
        <w:rPr>
          <w:rFonts w:ascii="Arial" w:hAnsi="Arial" w:cs="Arial"/>
        </w:rPr>
      </w:pPr>
      <w:proofErr w:type="spellStart"/>
      <w:r>
        <w:rPr>
          <w:rFonts w:ascii="Arial" w:hAnsi="Arial" w:cs="Arial"/>
        </w:rPr>
        <w:lastRenderedPageBreak/>
        <w:t>Touchnet</w:t>
      </w:r>
      <w:proofErr w:type="spellEnd"/>
      <w:r>
        <w:rPr>
          <w:rFonts w:ascii="Arial" w:hAnsi="Arial" w:cs="Arial"/>
        </w:rPr>
        <w:t xml:space="preserve"> Update – </w:t>
      </w:r>
      <w:r w:rsidR="00504A0B">
        <w:rPr>
          <w:rFonts w:ascii="Arial" w:hAnsi="Arial" w:cs="Arial"/>
        </w:rPr>
        <w:t xml:space="preserve">The </w:t>
      </w:r>
      <w:r>
        <w:rPr>
          <w:rFonts w:ascii="Arial" w:hAnsi="Arial" w:cs="Arial"/>
        </w:rPr>
        <w:t>electronic payment processing contract was approved. Pricing was set for 5 years.</w:t>
      </w:r>
      <w:r w:rsidR="0021341C">
        <w:rPr>
          <w:rFonts w:ascii="Arial" w:hAnsi="Arial" w:cs="Arial"/>
        </w:rPr>
        <w:t xml:space="preserve"> By joining TBR, we reduced annual escalations from 10% to 4%, saving around $200,000.</w:t>
      </w:r>
    </w:p>
    <w:p w:rsidR="0019110A" w:rsidRDefault="0019110A" w:rsidP="00400868">
      <w:pPr>
        <w:rPr>
          <w:rFonts w:ascii="Arial" w:hAnsi="Arial" w:cs="Arial"/>
        </w:rPr>
      </w:pPr>
    </w:p>
    <w:p w:rsidR="0019110A" w:rsidRDefault="0019110A" w:rsidP="00400868">
      <w:pPr>
        <w:rPr>
          <w:rFonts w:ascii="Arial" w:hAnsi="Arial" w:cs="Arial"/>
        </w:rPr>
      </w:pPr>
      <w:r>
        <w:rPr>
          <w:rFonts w:ascii="Arial" w:hAnsi="Arial" w:cs="Arial"/>
        </w:rPr>
        <w:t xml:space="preserve">Policy Review Committee – Plan to avoid </w:t>
      </w:r>
      <w:r w:rsidR="0021341C">
        <w:rPr>
          <w:rFonts w:ascii="Arial" w:hAnsi="Arial" w:cs="Arial"/>
        </w:rPr>
        <w:t xml:space="preserve">major </w:t>
      </w:r>
      <w:r>
        <w:rPr>
          <w:rFonts w:ascii="Arial" w:hAnsi="Arial" w:cs="Arial"/>
        </w:rPr>
        <w:t xml:space="preserve">policy rewrites, but </w:t>
      </w:r>
      <w:r w:rsidR="00504A0B">
        <w:rPr>
          <w:rFonts w:ascii="Arial" w:hAnsi="Arial" w:cs="Arial"/>
        </w:rPr>
        <w:t xml:space="preserve">there </w:t>
      </w:r>
      <w:r>
        <w:rPr>
          <w:rFonts w:ascii="Arial" w:hAnsi="Arial" w:cs="Arial"/>
        </w:rPr>
        <w:t xml:space="preserve">will be minor revisions. </w:t>
      </w:r>
      <w:r w:rsidR="00803FD3">
        <w:rPr>
          <w:rFonts w:ascii="Arial" w:hAnsi="Arial" w:cs="Arial"/>
        </w:rPr>
        <w:t>All campuses will be participating.</w:t>
      </w:r>
    </w:p>
    <w:p w:rsidR="00803FD3" w:rsidRDefault="00803FD3" w:rsidP="00400868">
      <w:pPr>
        <w:rPr>
          <w:rFonts w:ascii="Arial" w:hAnsi="Arial" w:cs="Arial"/>
        </w:rPr>
      </w:pPr>
    </w:p>
    <w:p w:rsidR="00803FD3" w:rsidRDefault="0019110A" w:rsidP="00400868">
      <w:pPr>
        <w:rPr>
          <w:rFonts w:ascii="Arial" w:hAnsi="Arial" w:cs="Arial"/>
        </w:rPr>
      </w:pPr>
      <w:r>
        <w:rPr>
          <w:rFonts w:ascii="Arial" w:hAnsi="Arial" w:cs="Arial"/>
        </w:rPr>
        <w:t xml:space="preserve">Bid Conditions – </w:t>
      </w:r>
      <w:r w:rsidR="00504A0B">
        <w:rPr>
          <w:rFonts w:ascii="Arial" w:hAnsi="Arial" w:cs="Arial"/>
        </w:rPr>
        <w:t xml:space="preserve">Purchasing </w:t>
      </w:r>
      <w:r>
        <w:rPr>
          <w:rFonts w:ascii="Arial" w:hAnsi="Arial" w:cs="Arial"/>
        </w:rPr>
        <w:t xml:space="preserve">will be meeting bi-weekly </w:t>
      </w:r>
      <w:r w:rsidR="00803FD3">
        <w:rPr>
          <w:rFonts w:ascii="Arial" w:hAnsi="Arial" w:cs="Arial"/>
        </w:rPr>
        <w:t>to work on these.</w:t>
      </w:r>
      <w:r w:rsidR="00504A0B">
        <w:rPr>
          <w:rFonts w:ascii="Arial" w:hAnsi="Arial" w:cs="Arial"/>
        </w:rPr>
        <w:t xml:space="preserve"> </w:t>
      </w:r>
      <w:r w:rsidR="00803FD3">
        <w:rPr>
          <w:rFonts w:ascii="Arial" w:hAnsi="Arial" w:cs="Arial"/>
        </w:rPr>
        <w:t>All campuses will be participating.</w:t>
      </w:r>
    </w:p>
    <w:p w:rsidR="00803FD3" w:rsidRDefault="00803FD3" w:rsidP="00400868">
      <w:pPr>
        <w:rPr>
          <w:rFonts w:ascii="Arial" w:hAnsi="Arial" w:cs="Arial"/>
        </w:rPr>
      </w:pPr>
    </w:p>
    <w:p w:rsidR="00803FD3" w:rsidRDefault="00803FD3" w:rsidP="00400868">
      <w:pPr>
        <w:rPr>
          <w:rFonts w:ascii="Arial" w:hAnsi="Arial" w:cs="Arial"/>
        </w:rPr>
      </w:pPr>
      <w:r>
        <w:rPr>
          <w:rFonts w:ascii="Arial" w:hAnsi="Arial" w:cs="Arial"/>
        </w:rPr>
        <w:t xml:space="preserve">Collaborative Bids – </w:t>
      </w:r>
      <w:r w:rsidR="00504A0B">
        <w:rPr>
          <w:rFonts w:ascii="Arial" w:hAnsi="Arial" w:cs="Arial"/>
        </w:rPr>
        <w:t xml:space="preserve">We were </w:t>
      </w:r>
      <w:r>
        <w:rPr>
          <w:rFonts w:ascii="Arial" w:hAnsi="Arial" w:cs="Arial"/>
        </w:rPr>
        <w:t xml:space="preserve">working with TBR on </w:t>
      </w:r>
      <w:proofErr w:type="gramStart"/>
      <w:r w:rsidR="00504A0B">
        <w:rPr>
          <w:rFonts w:ascii="Arial" w:hAnsi="Arial" w:cs="Arial"/>
        </w:rPr>
        <w:t>a furniture</w:t>
      </w:r>
      <w:proofErr w:type="gramEnd"/>
      <w:r w:rsidR="00504A0B">
        <w:rPr>
          <w:rFonts w:ascii="Arial" w:hAnsi="Arial" w:cs="Arial"/>
        </w:rPr>
        <w:t xml:space="preserve"> RFP; however, it was not beneficial to UT </w:t>
      </w:r>
      <w:r>
        <w:rPr>
          <w:rFonts w:ascii="Arial" w:hAnsi="Arial" w:cs="Arial"/>
        </w:rPr>
        <w:t>so we pulled out</w:t>
      </w:r>
      <w:r w:rsidR="00504A0B">
        <w:rPr>
          <w:rFonts w:ascii="Arial" w:hAnsi="Arial" w:cs="Arial"/>
        </w:rPr>
        <w:t>.  TBR asked to restart the process</w:t>
      </w:r>
      <w:r w:rsidR="00180048">
        <w:rPr>
          <w:rFonts w:ascii="Arial" w:hAnsi="Arial" w:cs="Arial"/>
        </w:rPr>
        <w:t>,</w:t>
      </w:r>
      <w:r w:rsidR="00504A0B">
        <w:rPr>
          <w:rFonts w:ascii="Arial" w:hAnsi="Arial" w:cs="Arial"/>
        </w:rPr>
        <w:t xml:space="preserve"> but asked UT to oversee the bidding process.</w:t>
      </w:r>
    </w:p>
    <w:p w:rsidR="00803FD3" w:rsidRDefault="00803FD3" w:rsidP="00400868">
      <w:pPr>
        <w:rPr>
          <w:rFonts w:ascii="Arial" w:hAnsi="Arial" w:cs="Arial"/>
        </w:rPr>
      </w:pPr>
    </w:p>
    <w:p w:rsidR="00803FD3" w:rsidRPr="0054053A" w:rsidRDefault="00803FD3" w:rsidP="00400868">
      <w:pPr>
        <w:rPr>
          <w:rFonts w:ascii="Arial" w:hAnsi="Arial" w:cs="Arial"/>
        </w:rPr>
      </w:pPr>
    </w:p>
    <w:p w:rsidR="00C22674" w:rsidRPr="00504A0B" w:rsidRDefault="00504A0B" w:rsidP="004D5EB1">
      <w:pPr>
        <w:rPr>
          <w:rFonts w:ascii="Arial" w:hAnsi="Arial" w:cs="Arial"/>
          <w:b/>
        </w:rPr>
      </w:pPr>
      <w:r w:rsidRPr="00504A0B">
        <w:rPr>
          <w:rFonts w:ascii="Arial" w:hAnsi="Arial" w:cs="Arial"/>
          <w:b/>
        </w:rPr>
        <w:t>CBO MEETING</w:t>
      </w:r>
    </w:p>
    <w:p w:rsidR="00A01A2F" w:rsidRDefault="00101838" w:rsidP="002356F0">
      <w:pPr>
        <w:rPr>
          <w:rFonts w:ascii="Arial" w:hAnsi="Arial" w:cs="Arial"/>
        </w:rPr>
      </w:pPr>
      <w:r>
        <w:rPr>
          <w:rFonts w:ascii="Arial" w:hAnsi="Arial" w:cs="Arial"/>
        </w:rPr>
        <w:tab/>
      </w:r>
      <w:r w:rsidR="002356F0">
        <w:rPr>
          <w:rFonts w:ascii="Arial" w:hAnsi="Arial" w:cs="Arial"/>
        </w:rPr>
        <w:br/>
      </w:r>
      <w:r w:rsidR="004113BC" w:rsidRPr="00A01A2F">
        <w:rPr>
          <w:rFonts w:ascii="Arial" w:hAnsi="Arial" w:cs="Arial"/>
          <w:b/>
        </w:rPr>
        <w:t>Code of Conduct – Bill Moles</w:t>
      </w:r>
      <w:r w:rsidR="00A01A2F" w:rsidRPr="00A01A2F">
        <w:rPr>
          <w:rFonts w:ascii="Arial" w:hAnsi="Arial" w:cs="Arial"/>
          <w:b/>
        </w:rPr>
        <w:t xml:space="preserve"> (effective July 1, 2012</w:t>
      </w:r>
      <w:proofErr w:type="gramStart"/>
      <w:r w:rsidR="00A01A2F" w:rsidRPr="00A01A2F">
        <w:rPr>
          <w:rFonts w:ascii="Arial" w:hAnsi="Arial" w:cs="Arial"/>
          <w:b/>
        </w:rPr>
        <w:t>)</w:t>
      </w:r>
      <w:proofErr w:type="gramEnd"/>
      <w:r w:rsidR="00C16970">
        <w:rPr>
          <w:rFonts w:ascii="Arial" w:hAnsi="Arial" w:cs="Arial"/>
        </w:rPr>
        <w:br/>
        <w:t>The Compliance Office is currently working with Legal C</w:t>
      </w:r>
      <w:r w:rsidR="00940231">
        <w:rPr>
          <w:rFonts w:ascii="Arial" w:hAnsi="Arial" w:cs="Arial"/>
        </w:rPr>
        <w:t>ouncil and HR D</w:t>
      </w:r>
      <w:r w:rsidR="00A01A2F">
        <w:rPr>
          <w:rFonts w:ascii="Arial" w:hAnsi="Arial" w:cs="Arial"/>
        </w:rPr>
        <w:t xml:space="preserve">irectors </w:t>
      </w:r>
      <w:r w:rsidR="00940231">
        <w:rPr>
          <w:rFonts w:ascii="Arial" w:hAnsi="Arial" w:cs="Arial"/>
        </w:rPr>
        <w:t>on Code of Conduct guidelines.  The general standard is to extend conduct codes and related compliance efforts beyond mere law compliance to the development of an organizational culture that encourages a more effective commitment to compliance with the law, including ethics-based standards and procedures</w:t>
      </w:r>
      <w:r w:rsidR="00A431E3">
        <w:rPr>
          <w:rFonts w:ascii="Arial" w:hAnsi="Arial" w:cs="Arial"/>
        </w:rPr>
        <w:t>.</w:t>
      </w:r>
      <w:r w:rsidR="009633AE">
        <w:rPr>
          <w:rFonts w:ascii="Arial" w:hAnsi="Arial" w:cs="Arial"/>
        </w:rPr>
        <w:br/>
      </w:r>
      <w:r w:rsidR="009633AE">
        <w:rPr>
          <w:rFonts w:ascii="Arial" w:hAnsi="Arial" w:cs="Arial"/>
        </w:rPr>
        <w:br/>
      </w:r>
      <w:r w:rsidR="00A431E3">
        <w:rPr>
          <w:rFonts w:ascii="Arial" w:hAnsi="Arial" w:cs="Arial"/>
        </w:rPr>
        <w:t>Requirements include:</w:t>
      </w:r>
    </w:p>
    <w:p w:rsidR="00940231" w:rsidRDefault="00940231" w:rsidP="00940231">
      <w:pPr>
        <w:pStyle w:val="ListParagraph"/>
        <w:numPr>
          <w:ilvl w:val="0"/>
          <w:numId w:val="32"/>
        </w:numPr>
        <w:rPr>
          <w:rFonts w:ascii="Arial" w:hAnsi="Arial" w:cs="Arial"/>
        </w:rPr>
      </w:pPr>
      <w:r>
        <w:rPr>
          <w:rFonts w:ascii="Arial" w:hAnsi="Arial" w:cs="Arial"/>
        </w:rPr>
        <w:t>Honest and ethical conduct;</w:t>
      </w:r>
    </w:p>
    <w:p w:rsidR="00940231" w:rsidRDefault="00940231" w:rsidP="00940231">
      <w:pPr>
        <w:pStyle w:val="ListParagraph"/>
        <w:numPr>
          <w:ilvl w:val="0"/>
          <w:numId w:val="32"/>
        </w:numPr>
        <w:rPr>
          <w:rFonts w:ascii="Arial" w:hAnsi="Arial" w:cs="Arial"/>
        </w:rPr>
      </w:pPr>
      <w:r>
        <w:rPr>
          <w:rFonts w:ascii="Arial" w:hAnsi="Arial" w:cs="Arial"/>
        </w:rPr>
        <w:t>Full, fair, accurate, timely, and understandable disclosure in reports and documents that a registrant files with, or submits to, federal agencies and in other public communications made by the registrant;</w:t>
      </w:r>
    </w:p>
    <w:p w:rsidR="00940231" w:rsidRDefault="00940231" w:rsidP="00940231">
      <w:pPr>
        <w:pStyle w:val="ListParagraph"/>
        <w:numPr>
          <w:ilvl w:val="0"/>
          <w:numId w:val="32"/>
        </w:numPr>
        <w:rPr>
          <w:rFonts w:ascii="Arial" w:hAnsi="Arial" w:cs="Arial"/>
        </w:rPr>
      </w:pPr>
      <w:r>
        <w:rPr>
          <w:rFonts w:ascii="Arial" w:hAnsi="Arial" w:cs="Arial"/>
        </w:rPr>
        <w:t>Compliance with all applicable governmental laws, rules, and regulations;</w:t>
      </w:r>
    </w:p>
    <w:p w:rsidR="00940231" w:rsidRDefault="00940231" w:rsidP="00940231">
      <w:pPr>
        <w:pStyle w:val="ListParagraph"/>
        <w:numPr>
          <w:ilvl w:val="0"/>
          <w:numId w:val="32"/>
        </w:numPr>
        <w:rPr>
          <w:rFonts w:ascii="Arial" w:hAnsi="Arial" w:cs="Arial"/>
        </w:rPr>
      </w:pPr>
      <w:r>
        <w:rPr>
          <w:rFonts w:ascii="Arial" w:hAnsi="Arial" w:cs="Arial"/>
        </w:rPr>
        <w:t>The prompt internal reporting of violations of the code to an appropriate person or persons identified in the code;</w:t>
      </w:r>
    </w:p>
    <w:p w:rsidR="00940231" w:rsidRDefault="00940231" w:rsidP="00940231">
      <w:pPr>
        <w:pStyle w:val="ListParagraph"/>
        <w:numPr>
          <w:ilvl w:val="0"/>
          <w:numId w:val="32"/>
        </w:numPr>
        <w:rPr>
          <w:rFonts w:ascii="Arial" w:hAnsi="Arial" w:cs="Arial"/>
        </w:rPr>
      </w:pPr>
      <w:r>
        <w:rPr>
          <w:rFonts w:ascii="Arial" w:hAnsi="Arial" w:cs="Arial"/>
        </w:rPr>
        <w:t>Protection of whistleblowers;</w:t>
      </w:r>
    </w:p>
    <w:p w:rsidR="00940231" w:rsidRDefault="00940231" w:rsidP="00940231">
      <w:pPr>
        <w:pStyle w:val="ListParagraph"/>
        <w:numPr>
          <w:ilvl w:val="0"/>
          <w:numId w:val="32"/>
        </w:numPr>
        <w:rPr>
          <w:rFonts w:ascii="Arial" w:hAnsi="Arial" w:cs="Arial"/>
        </w:rPr>
      </w:pPr>
      <w:r>
        <w:rPr>
          <w:rFonts w:ascii="Arial" w:hAnsi="Arial" w:cs="Arial"/>
        </w:rPr>
        <w:t>Accountability for adherence to the code; and</w:t>
      </w:r>
    </w:p>
    <w:p w:rsidR="00940231" w:rsidRDefault="00EA48C8" w:rsidP="00940231">
      <w:pPr>
        <w:pStyle w:val="ListParagraph"/>
        <w:numPr>
          <w:ilvl w:val="0"/>
          <w:numId w:val="32"/>
        </w:numPr>
        <w:rPr>
          <w:rFonts w:ascii="Arial" w:hAnsi="Arial" w:cs="Arial"/>
        </w:rPr>
      </w:pPr>
      <w:r>
        <w:rPr>
          <w:rFonts w:ascii="Arial" w:hAnsi="Arial" w:cs="Arial"/>
        </w:rPr>
        <w:t>Ef</w:t>
      </w:r>
      <w:r w:rsidR="00940231">
        <w:rPr>
          <w:rFonts w:ascii="Arial" w:hAnsi="Arial" w:cs="Arial"/>
        </w:rPr>
        <w:t>fective training.</w:t>
      </w:r>
    </w:p>
    <w:p w:rsidR="00B77ABF" w:rsidRDefault="00B77ABF">
      <w:pPr>
        <w:ind w:left="0"/>
        <w:rPr>
          <w:rFonts w:ascii="Arial" w:hAnsi="Arial" w:cs="Arial"/>
        </w:rPr>
      </w:pPr>
    </w:p>
    <w:p w:rsidR="00EA48C8" w:rsidRDefault="00EA48C8" w:rsidP="002356F0">
      <w:pPr>
        <w:rPr>
          <w:rFonts w:ascii="Arial" w:hAnsi="Arial" w:cs="Arial"/>
        </w:rPr>
      </w:pPr>
      <w:r>
        <w:rPr>
          <w:rFonts w:ascii="Arial" w:hAnsi="Arial" w:cs="Arial"/>
        </w:rPr>
        <w:t>Procedures for new employees took effect on July 1.  Procedures include:</w:t>
      </w:r>
    </w:p>
    <w:p w:rsidR="00EA48C8" w:rsidRDefault="00EA48C8" w:rsidP="002356F0">
      <w:pPr>
        <w:rPr>
          <w:rFonts w:ascii="Arial" w:hAnsi="Arial" w:cs="Arial"/>
        </w:rPr>
      </w:pPr>
    </w:p>
    <w:p w:rsidR="00EA48C8" w:rsidRDefault="00EA48C8" w:rsidP="00EA48C8">
      <w:pPr>
        <w:pStyle w:val="ListParagraph"/>
        <w:numPr>
          <w:ilvl w:val="0"/>
          <w:numId w:val="33"/>
        </w:numPr>
        <w:rPr>
          <w:rFonts w:ascii="Arial" w:hAnsi="Arial" w:cs="Arial"/>
        </w:rPr>
      </w:pPr>
      <w:r>
        <w:rPr>
          <w:rFonts w:ascii="Arial" w:hAnsi="Arial" w:cs="Arial"/>
        </w:rPr>
        <w:t>Code of Conduct introduced in new employee orientation;</w:t>
      </w:r>
    </w:p>
    <w:p w:rsidR="00EA48C8" w:rsidRDefault="00EA48C8" w:rsidP="00EA48C8">
      <w:pPr>
        <w:pStyle w:val="ListParagraph"/>
        <w:numPr>
          <w:ilvl w:val="0"/>
          <w:numId w:val="33"/>
        </w:numPr>
        <w:rPr>
          <w:rFonts w:ascii="Arial" w:hAnsi="Arial" w:cs="Arial"/>
        </w:rPr>
      </w:pPr>
      <w:r>
        <w:rPr>
          <w:rFonts w:ascii="Arial" w:hAnsi="Arial" w:cs="Arial"/>
        </w:rPr>
        <w:t>New employees will be directed to an online site to read and sign an acknowledgement of the Code;</w:t>
      </w:r>
    </w:p>
    <w:p w:rsidR="00EA48C8" w:rsidRDefault="00EA48C8" w:rsidP="00EA48C8">
      <w:pPr>
        <w:pStyle w:val="ListParagraph"/>
        <w:numPr>
          <w:ilvl w:val="0"/>
          <w:numId w:val="33"/>
        </w:numPr>
        <w:rPr>
          <w:rFonts w:ascii="Arial" w:hAnsi="Arial" w:cs="Arial"/>
        </w:rPr>
      </w:pPr>
      <w:r>
        <w:rPr>
          <w:rFonts w:ascii="Arial" w:hAnsi="Arial" w:cs="Arial"/>
        </w:rPr>
        <w:t>If no web access, they will receive a copy of the Code to read and sign;</w:t>
      </w:r>
    </w:p>
    <w:p w:rsidR="00EA48C8" w:rsidRDefault="00EA48C8" w:rsidP="00EA48C8">
      <w:pPr>
        <w:pStyle w:val="ListParagraph"/>
        <w:numPr>
          <w:ilvl w:val="0"/>
          <w:numId w:val="33"/>
        </w:numPr>
        <w:rPr>
          <w:rFonts w:ascii="Arial" w:hAnsi="Arial" w:cs="Arial"/>
        </w:rPr>
      </w:pPr>
      <w:r>
        <w:rPr>
          <w:rFonts w:ascii="Arial" w:hAnsi="Arial" w:cs="Arial"/>
        </w:rPr>
        <w:t>Agreement is scanned and PDF entered to IRIS record;</w:t>
      </w:r>
    </w:p>
    <w:p w:rsidR="00EA48C8" w:rsidRDefault="00EA48C8" w:rsidP="00EA48C8">
      <w:pPr>
        <w:pStyle w:val="ListParagraph"/>
        <w:numPr>
          <w:ilvl w:val="0"/>
          <w:numId w:val="33"/>
        </w:numPr>
        <w:rPr>
          <w:rFonts w:ascii="Arial" w:hAnsi="Arial" w:cs="Arial"/>
        </w:rPr>
      </w:pPr>
      <w:r>
        <w:rPr>
          <w:rFonts w:ascii="Arial" w:hAnsi="Arial" w:cs="Arial"/>
        </w:rPr>
        <w:t>Code of Conduct field in IRIS is “checked.”</w:t>
      </w:r>
    </w:p>
    <w:p w:rsidR="00EA48C8" w:rsidRDefault="00EA48C8" w:rsidP="00EA48C8">
      <w:pPr>
        <w:rPr>
          <w:rFonts w:ascii="Arial" w:hAnsi="Arial" w:cs="Arial"/>
        </w:rPr>
      </w:pPr>
    </w:p>
    <w:p w:rsidR="00A431E3" w:rsidRDefault="00EA48C8" w:rsidP="00A431E3">
      <w:pPr>
        <w:rPr>
          <w:rFonts w:ascii="Arial" w:hAnsi="Arial" w:cs="Arial"/>
        </w:rPr>
      </w:pPr>
      <w:r>
        <w:rPr>
          <w:rFonts w:ascii="Arial" w:hAnsi="Arial" w:cs="Arial"/>
        </w:rPr>
        <w:t xml:space="preserve">Current employees will be informed of the Code and directed to a website.  Employees will sign on with </w:t>
      </w:r>
      <w:proofErr w:type="spellStart"/>
      <w:r>
        <w:rPr>
          <w:rFonts w:ascii="Arial" w:hAnsi="Arial" w:cs="Arial"/>
        </w:rPr>
        <w:t>NetID</w:t>
      </w:r>
      <w:proofErr w:type="spellEnd"/>
      <w:r>
        <w:rPr>
          <w:rFonts w:ascii="Arial" w:hAnsi="Arial" w:cs="Arial"/>
        </w:rPr>
        <w:t xml:space="preserve">, read the Code and click </w:t>
      </w:r>
      <w:r w:rsidR="009633AE">
        <w:rPr>
          <w:rFonts w:ascii="Arial" w:hAnsi="Arial" w:cs="Arial"/>
        </w:rPr>
        <w:t xml:space="preserve">the </w:t>
      </w:r>
      <w:r>
        <w:rPr>
          <w:rFonts w:ascii="Arial" w:hAnsi="Arial" w:cs="Arial"/>
        </w:rPr>
        <w:t>agreement</w:t>
      </w:r>
      <w:r w:rsidR="009633AE">
        <w:rPr>
          <w:rFonts w:ascii="Arial" w:hAnsi="Arial" w:cs="Arial"/>
        </w:rPr>
        <w:t xml:space="preserve"> (which </w:t>
      </w:r>
      <w:r>
        <w:rPr>
          <w:rFonts w:ascii="Arial" w:hAnsi="Arial" w:cs="Arial"/>
        </w:rPr>
        <w:t>will automatically be recorded in IRIS</w:t>
      </w:r>
      <w:r w:rsidR="009633AE">
        <w:rPr>
          <w:rFonts w:ascii="Arial" w:hAnsi="Arial" w:cs="Arial"/>
        </w:rPr>
        <w:t>)</w:t>
      </w:r>
      <w:r>
        <w:rPr>
          <w:rFonts w:ascii="Arial" w:hAnsi="Arial" w:cs="Arial"/>
        </w:rPr>
        <w:t>.</w:t>
      </w:r>
      <w:r w:rsidR="00A431E3">
        <w:rPr>
          <w:rFonts w:ascii="Arial" w:hAnsi="Arial" w:cs="Arial"/>
        </w:rPr>
        <w:t xml:space="preserve">  It will be possible to track and report participation (which is strongly encouraged, but not required).</w:t>
      </w:r>
    </w:p>
    <w:p w:rsidR="00A431E3" w:rsidRDefault="00A431E3" w:rsidP="00A431E3">
      <w:pPr>
        <w:rPr>
          <w:rFonts w:ascii="Arial" w:hAnsi="Arial" w:cs="Arial"/>
        </w:rPr>
      </w:pPr>
    </w:p>
    <w:p w:rsidR="00C16970" w:rsidRDefault="00B77ABF" w:rsidP="0021341C">
      <w:pPr>
        <w:ind w:left="0"/>
        <w:rPr>
          <w:rFonts w:ascii="Arial" w:hAnsi="Arial" w:cs="Arial"/>
        </w:rPr>
      </w:pPr>
      <w:r>
        <w:rPr>
          <w:rFonts w:ascii="Arial" w:hAnsi="Arial" w:cs="Arial"/>
        </w:rPr>
        <w:br w:type="page"/>
      </w:r>
      <w:r w:rsidR="00A431E3">
        <w:rPr>
          <w:rFonts w:ascii="Arial" w:hAnsi="Arial" w:cs="Arial"/>
        </w:rPr>
        <w:lastRenderedPageBreak/>
        <w:t xml:space="preserve">There will be a new logo for the Code of Conduct which will be color coded by campus. It is suggested that letters to employees by sent from campus Chancellors.  </w:t>
      </w:r>
    </w:p>
    <w:p w:rsidR="00A431E3" w:rsidRDefault="00A431E3" w:rsidP="00A431E3">
      <w:pPr>
        <w:rPr>
          <w:rFonts w:ascii="Arial" w:hAnsi="Arial" w:cs="Arial"/>
        </w:rPr>
      </w:pPr>
    </w:p>
    <w:p w:rsidR="00A431E3" w:rsidRDefault="00C16970" w:rsidP="00FF69C3">
      <w:pPr>
        <w:rPr>
          <w:rFonts w:ascii="Arial" w:hAnsi="Arial" w:cs="Arial"/>
        </w:rPr>
      </w:pPr>
      <w:r>
        <w:rPr>
          <w:rFonts w:ascii="Arial" w:hAnsi="Arial" w:cs="Arial"/>
        </w:rPr>
        <w:t>E</w:t>
      </w:r>
      <w:r w:rsidR="00A431E3">
        <w:rPr>
          <w:rFonts w:ascii="Arial" w:hAnsi="Arial" w:cs="Arial"/>
        </w:rPr>
        <w:t xml:space="preserve">mail link – </w:t>
      </w:r>
      <w:hyperlink r:id="rId8" w:history="1">
        <w:r w:rsidR="00A431E3" w:rsidRPr="007D100A">
          <w:rPr>
            <w:rStyle w:val="Hyperlink"/>
            <w:rFonts w:ascii="Arial" w:hAnsi="Arial" w:cs="Arial"/>
          </w:rPr>
          <w:t>http://compliance.tennessee.edu/codepolicy.htm</w:t>
        </w:r>
      </w:hyperlink>
    </w:p>
    <w:p w:rsidR="00AC0030" w:rsidRDefault="002356F0" w:rsidP="00FF69C3">
      <w:pPr>
        <w:rPr>
          <w:rFonts w:ascii="Arial" w:hAnsi="Arial" w:cs="Arial"/>
        </w:rPr>
      </w:pPr>
      <w:r w:rsidRPr="00A01A2F">
        <w:rPr>
          <w:rFonts w:ascii="Arial" w:hAnsi="Arial" w:cs="Arial"/>
        </w:rPr>
        <w:br/>
      </w:r>
      <w:r>
        <w:rPr>
          <w:rFonts w:ascii="Arial" w:hAnsi="Arial" w:cs="Arial"/>
        </w:rPr>
        <w:br/>
      </w:r>
      <w:r w:rsidR="004113BC" w:rsidRPr="008622DA">
        <w:rPr>
          <w:rFonts w:ascii="Arial" w:hAnsi="Arial" w:cs="Arial"/>
          <w:b/>
        </w:rPr>
        <w:t>Update Risk Profile – Judy Burns/Sandy Jansen</w:t>
      </w:r>
      <w:r w:rsidR="002F0570">
        <w:rPr>
          <w:rFonts w:ascii="Arial" w:hAnsi="Arial" w:cs="Arial"/>
          <w:b/>
        </w:rPr>
        <w:br/>
      </w:r>
      <w:r w:rsidR="002F0570">
        <w:rPr>
          <w:rFonts w:ascii="Arial" w:hAnsi="Arial" w:cs="Arial"/>
          <w:b/>
        </w:rPr>
        <w:br/>
      </w:r>
      <w:r w:rsidR="002F0570">
        <w:rPr>
          <w:rFonts w:ascii="Arial" w:hAnsi="Arial" w:cs="Arial"/>
        </w:rPr>
        <w:t>Activity c</w:t>
      </w:r>
      <w:r w:rsidR="00AC0030">
        <w:rPr>
          <w:rFonts w:ascii="Arial" w:hAnsi="Arial" w:cs="Arial"/>
        </w:rPr>
        <w:t>hanges to the Risk Profile include:</w:t>
      </w:r>
    </w:p>
    <w:p w:rsidR="00AC0030" w:rsidRDefault="00AC0030" w:rsidP="00FF69C3">
      <w:pPr>
        <w:rPr>
          <w:rFonts w:ascii="Arial" w:hAnsi="Arial" w:cs="Arial"/>
        </w:rPr>
      </w:pPr>
    </w:p>
    <w:p w:rsidR="00AC0030" w:rsidRPr="009633AE" w:rsidRDefault="002F0570" w:rsidP="00FF69C3">
      <w:pPr>
        <w:rPr>
          <w:rFonts w:ascii="Arial" w:hAnsi="Arial" w:cs="Arial"/>
          <w:b/>
        </w:rPr>
      </w:pPr>
      <w:r w:rsidRPr="009633AE">
        <w:rPr>
          <w:rFonts w:ascii="Arial" w:hAnsi="Arial" w:cs="Arial"/>
          <w:b/>
        </w:rPr>
        <w:t>R</w:t>
      </w:r>
      <w:r w:rsidR="00AC0030" w:rsidRPr="009633AE">
        <w:rPr>
          <w:rFonts w:ascii="Arial" w:hAnsi="Arial" w:cs="Arial"/>
          <w:b/>
        </w:rPr>
        <w:t>emoved:</w:t>
      </w:r>
    </w:p>
    <w:p w:rsidR="00AC0030" w:rsidRDefault="00FF69C3" w:rsidP="00FF69C3">
      <w:pPr>
        <w:pStyle w:val="ListParagraph"/>
        <w:numPr>
          <w:ilvl w:val="0"/>
          <w:numId w:val="34"/>
        </w:numPr>
        <w:rPr>
          <w:rFonts w:ascii="Arial" w:hAnsi="Arial" w:cs="Arial"/>
        </w:rPr>
      </w:pPr>
      <w:r w:rsidRPr="00AC0030">
        <w:rPr>
          <w:rFonts w:ascii="Arial" w:hAnsi="Arial" w:cs="Arial"/>
        </w:rPr>
        <w:t>State ARRA</w:t>
      </w:r>
      <w:r w:rsidR="00AC0030" w:rsidRPr="00AC0030">
        <w:rPr>
          <w:rFonts w:ascii="Arial" w:hAnsi="Arial" w:cs="Arial"/>
        </w:rPr>
        <w:t>; (F</w:t>
      </w:r>
      <w:r w:rsidRPr="00AC0030">
        <w:rPr>
          <w:rFonts w:ascii="Arial" w:hAnsi="Arial" w:cs="Arial"/>
        </w:rPr>
        <w:t xml:space="preserve">ederal </w:t>
      </w:r>
      <w:r w:rsidR="00F0657F">
        <w:rPr>
          <w:rFonts w:ascii="Arial" w:hAnsi="Arial" w:cs="Arial"/>
        </w:rPr>
        <w:t xml:space="preserve">ARRA </w:t>
      </w:r>
      <w:r w:rsidRPr="00AC0030">
        <w:rPr>
          <w:rFonts w:ascii="Arial" w:hAnsi="Arial" w:cs="Arial"/>
        </w:rPr>
        <w:t>will continue</w:t>
      </w:r>
      <w:r w:rsidR="00AC0030" w:rsidRPr="00AC0030">
        <w:rPr>
          <w:rFonts w:ascii="Arial" w:hAnsi="Arial" w:cs="Arial"/>
        </w:rPr>
        <w:t>)</w:t>
      </w:r>
    </w:p>
    <w:p w:rsidR="00FF69C3" w:rsidRPr="00AC0030" w:rsidRDefault="00D65FB4" w:rsidP="00FF69C3">
      <w:pPr>
        <w:pStyle w:val="ListParagraph"/>
        <w:numPr>
          <w:ilvl w:val="0"/>
          <w:numId w:val="34"/>
        </w:numPr>
        <w:rPr>
          <w:rFonts w:ascii="Arial" w:hAnsi="Arial" w:cs="Arial"/>
        </w:rPr>
      </w:pPr>
      <w:r w:rsidRPr="00AC0030">
        <w:rPr>
          <w:rFonts w:ascii="Arial" w:hAnsi="Arial" w:cs="Arial"/>
        </w:rPr>
        <w:t>Strategic Plan</w:t>
      </w:r>
      <w:r w:rsidR="0061355C" w:rsidRPr="00AC0030">
        <w:rPr>
          <w:rFonts w:ascii="Arial" w:hAnsi="Arial" w:cs="Arial"/>
        </w:rPr>
        <w:t>ning</w:t>
      </w:r>
    </w:p>
    <w:p w:rsidR="00AC0030" w:rsidRDefault="00AC0030" w:rsidP="00FF69C3">
      <w:pPr>
        <w:rPr>
          <w:rFonts w:ascii="Arial" w:hAnsi="Arial" w:cs="Arial"/>
        </w:rPr>
      </w:pPr>
    </w:p>
    <w:p w:rsidR="00AC0030" w:rsidRPr="009633AE" w:rsidRDefault="00AC0030" w:rsidP="00FF69C3">
      <w:pPr>
        <w:rPr>
          <w:rFonts w:ascii="Arial" w:hAnsi="Arial" w:cs="Arial"/>
          <w:b/>
        </w:rPr>
      </w:pPr>
      <w:bookmarkStart w:id="0" w:name="_GoBack"/>
      <w:r w:rsidRPr="009633AE">
        <w:rPr>
          <w:rFonts w:ascii="Arial" w:hAnsi="Arial" w:cs="Arial"/>
          <w:b/>
        </w:rPr>
        <w:t>Changed:</w:t>
      </w:r>
    </w:p>
    <w:bookmarkEnd w:id="0"/>
    <w:p w:rsidR="00B0108C" w:rsidRDefault="0061355C" w:rsidP="00FF69C3">
      <w:pPr>
        <w:pStyle w:val="ListParagraph"/>
        <w:numPr>
          <w:ilvl w:val="0"/>
          <w:numId w:val="35"/>
        </w:numPr>
        <w:rPr>
          <w:rFonts w:ascii="Arial" w:hAnsi="Arial" w:cs="Arial"/>
        </w:rPr>
      </w:pPr>
      <w:r w:rsidRPr="00B0108C">
        <w:rPr>
          <w:rFonts w:ascii="Arial" w:hAnsi="Arial" w:cs="Arial"/>
        </w:rPr>
        <w:t>B</w:t>
      </w:r>
      <w:r w:rsidR="00B0108C">
        <w:rPr>
          <w:rFonts w:ascii="Arial" w:hAnsi="Arial" w:cs="Arial"/>
        </w:rPr>
        <w:t>udgeting</w:t>
      </w:r>
      <w:r w:rsidRPr="00B0108C">
        <w:rPr>
          <w:rFonts w:ascii="Arial" w:hAnsi="Arial" w:cs="Arial"/>
        </w:rPr>
        <w:t xml:space="preserve">: - </w:t>
      </w:r>
      <w:r w:rsidR="00AC0030" w:rsidRPr="00B0108C">
        <w:rPr>
          <w:rFonts w:ascii="Arial" w:hAnsi="Arial" w:cs="Arial"/>
        </w:rPr>
        <w:t>Changed “</w:t>
      </w:r>
      <w:r w:rsidRPr="00B0108C">
        <w:rPr>
          <w:rFonts w:ascii="Arial" w:hAnsi="Arial" w:cs="Arial"/>
        </w:rPr>
        <w:t>Budget does not align with strategic plan</w:t>
      </w:r>
      <w:r w:rsidR="00AC0030" w:rsidRPr="00B0108C">
        <w:rPr>
          <w:rFonts w:ascii="Arial" w:hAnsi="Arial" w:cs="Arial"/>
        </w:rPr>
        <w:t xml:space="preserve">” from </w:t>
      </w:r>
      <w:r w:rsidR="00B0108C" w:rsidRPr="00B0108C">
        <w:rPr>
          <w:rFonts w:ascii="Arial" w:hAnsi="Arial" w:cs="Arial"/>
        </w:rPr>
        <w:t xml:space="preserve">ML to </w:t>
      </w:r>
      <w:r w:rsidRPr="00B0108C">
        <w:rPr>
          <w:rFonts w:ascii="Arial" w:hAnsi="Arial" w:cs="Arial"/>
        </w:rPr>
        <w:t>MM</w:t>
      </w:r>
    </w:p>
    <w:p w:rsidR="00B0108C" w:rsidRDefault="0068451D" w:rsidP="00B0108C">
      <w:pPr>
        <w:pStyle w:val="ListParagraph"/>
        <w:numPr>
          <w:ilvl w:val="0"/>
          <w:numId w:val="35"/>
        </w:numPr>
        <w:rPr>
          <w:rFonts w:ascii="Arial" w:hAnsi="Arial" w:cs="Arial"/>
        </w:rPr>
      </w:pPr>
      <w:r w:rsidRPr="00B0108C">
        <w:rPr>
          <w:rFonts w:ascii="Arial" w:hAnsi="Arial" w:cs="Arial"/>
        </w:rPr>
        <w:t>Purchasing – Added P</w:t>
      </w:r>
      <w:r w:rsidR="005E1F84">
        <w:rPr>
          <w:rFonts w:ascii="Arial" w:hAnsi="Arial" w:cs="Arial"/>
        </w:rPr>
        <w:t xml:space="preserve"> </w:t>
      </w:r>
      <w:r w:rsidRPr="00B0108C">
        <w:rPr>
          <w:rFonts w:ascii="Arial" w:hAnsi="Arial" w:cs="Arial"/>
        </w:rPr>
        <w:t>C</w:t>
      </w:r>
      <w:r w:rsidR="005E1F84">
        <w:rPr>
          <w:rFonts w:ascii="Arial" w:hAnsi="Arial" w:cs="Arial"/>
        </w:rPr>
        <w:t>ard</w:t>
      </w:r>
      <w:r w:rsidRPr="00B0108C">
        <w:rPr>
          <w:rFonts w:ascii="Arial" w:hAnsi="Arial" w:cs="Arial"/>
        </w:rPr>
        <w:t xml:space="preserve"> purchases</w:t>
      </w:r>
    </w:p>
    <w:p w:rsidR="00B0108C" w:rsidRPr="00B0108C" w:rsidRDefault="00B0108C" w:rsidP="00B0108C">
      <w:pPr>
        <w:pStyle w:val="ListParagraph"/>
        <w:numPr>
          <w:ilvl w:val="0"/>
          <w:numId w:val="35"/>
        </w:numPr>
        <w:rPr>
          <w:rFonts w:ascii="Arial" w:hAnsi="Arial" w:cs="Arial"/>
        </w:rPr>
      </w:pPr>
      <w:r w:rsidRPr="00B0108C">
        <w:rPr>
          <w:rFonts w:ascii="Arial" w:hAnsi="Arial" w:cs="Arial"/>
        </w:rPr>
        <w:t xml:space="preserve">Purchasing – </w:t>
      </w:r>
      <w:r>
        <w:rPr>
          <w:rFonts w:ascii="Arial" w:hAnsi="Arial" w:cs="Arial"/>
        </w:rPr>
        <w:t>Changed “</w:t>
      </w:r>
      <w:r w:rsidRPr="00B0108C">
        <w:rPr>
          <w:rFonts w:ascii="Arial" w:hAnsi="Arial" w:cs="Arial"/>
        </w:rPr>
        <w:t>Failure to report sole-source to fiscal review committee</w:t>
      </w:r>
      <w:r>
        <w:rPr>
          <w:rFonts w:ascii="Arial" w:hAnsi="Arial" w:cs="Arial"/>
        </w:rPr>
        <w:t>” from HH to</w:t>
      </w:r>
      <w:r w:rsidRPr="00B0108C">
        <w:rPr>
          <w:rFonts w:ascii="Arial" w:hAnsi="Arial" w:cs="Arial"/>
        </w:rPr>
        <w:t xml:space="preserve"> HM</w:t>
      </w:r>
    </w:p>
    <w:p w:rsidR="00B0108C" w:rsidRDefault="0068451D" w:rsidP="00FF69C3">
      <w:pPr>
        <w:pStyle w:val="ListParagraph"/>
        <w:numPr>
          <w:ilvl w:val="0"/>
          <w:numId w:val="35"/>
        </w:numPr>
        <w:rPr>
          <w:rFonts w:ascii="Arial" w:hAnsi="Arial" w:cs="Arial"/>
        </w:rPr>
      </w:pPr>
      <w:r w:rsidRPr="00B0108C">
        <w:rPr>
          <w:rFonts w:ascii="Arial" w:hAnsi="Arial" w:cs="Arial"/>
        </w:rPr>
        <w:t xml:space="preserve">Asset Management – </w:t>
      </w:r>
      <w:r w:rsidR="00B0108C" w:rsidRPr="00B0108C">
        <w:rPr>
          <w:rFonts w:ascii="Arial" w:hAnsi="Arial" w:cs="Arial"/>
        </w:rPr>
        <w:t>Added “</w:t>
      </w:r>
      <w:r w:rsidRPr="00B0108C">
        <w:rPr>
          <w:rFonts w:ascii="Arial" w:hAnsi="Arial" w:cs="Arial"/>
        </w:rPr>
        <w:t>Theft of computers or other electronic devices.</w:t>
      </w:r>
      <w:r w:rsidR="00B0108C" w:rsidRPr="00B0108C">
        <w:rPr>
          <w:rFonts w:ascii="Arial" w:hAnsi="Arial" w:cs="Arial"/>
        </w:rPr>
        <w:t>”</w:t>
      </w:r>
      <w:r w:rsidRPr="00B0108C">
        <w:rPr>
          <w:rFonts w:ascii="Arial" w:hAnsi="Arial" w:cs="Arial"/>
        </w:rPr>
        <w:t xml:space="preserve"> – MM (2, 14) </w:t>
      </w:r>
    </w:p>
    <w:p w:rsidR="00B0108C" w:rsidRDefault="00BF5D63" w:rsidP="00FF69C3">
      <w:pPr>
        <w:pStyle w:val="ListParagraph"/>
        <w:numPr>
          <w:ilvl w:val="0"/>
          <w:numId w:val="35"/>
        </w:numPr>
        <w:rPr>
          <w:rFonts w:ascii="Arial" w:hAnsi="Arial" w:cs="Arial"/>
        </w:rPr>
      </w:pPr>
      <w:r w:rsidRPr="00B0108C">
        <w:rPr>
          <w:rFonts w:ascii="Arial" w:hAnsi="Arial" w:cs="Arial"/>
        </w:rPr>
        <w:t>Move</w:t>
      </w:r>
      <w:r w:rsidR="00B0108C" w:rsidRPr="00B0108C">
        <w:rPr>
          <w:rFonts w:ascii="Arial" w:hAnsi="Arial" w:cs="Arial"/>
        </w:rPr>
        <w:t>d</w:t>
      </w:r>
      <w:r w:rsidRPr="00B0108C">
        <w:rPr>
          <w:rFonts w:ascii="Arial" w:hAnsi="Arial" w:cs="Arial"/>
        </w:rPr>
        <w:t xml:space="preserve"> </w:t>
      </w:r>
      <w:r w:rsidR="00B0108C" w:rsidRPr="00B0108C">
        <w:rPr>
          <w:rFonts w:ascii="Arial" w:hAnsi="Arial" w:cs="Arial"/>
        </w:rPr>
        <w:t>“</w:t>
      </w:r>
      <w:r w:rsidRPr="00B0108C">
        <w:rPr>
          <w:rFonts w:ascii="Arial" w:hAnsi="Arial" w:cs="Arial"/>
        </w:rPr>
        <w:t xml:space="preserve">Failure to ID </w:t>
      </w:r>
      <w:r w:rsidR="00B0108C" w:rsidRPr="00B0108C">
        <w:rPr>
          <w:rFonts w:ascii="Arial" w:hAnsi="Arial" w:cs="Arial"/>
        </w:rPr>
        <w:t>C</w:t>
      </w:r>
      <w:r w:rsidRPr="00B0108C">
        <w:rPr>
          <w:rFonts w:ascii="Arial" w:hAnsi="Arial" w:cs="Arial"/>
        </w:rPr>
        <w:t>onflicts of</w:t>
      </w:r>
      <w:r w:rsidR="00B0108C" w:rsidRPr="00B0108C">
        <w:rPr>
          <w:rFonts w:ascii="Arial" w:hAnsi="Arial" w:cs="Arial"/>
        </w:rPr>
        <w:t xml:space="preserve"> I</w:t>
      </w:r>
      <w:r w:rsidRPr="00B0108C">
        <w:rPr>
          <w:rFonts w:ascii="Arial" w:hAnsi="Arial" w:cs="Arial"/>
        </w:rPr>
        <w:t>nterest</w:t>
      </w:r>
      <w:r w:rsidR="00B0108C" w:rsidRPr="00B0108C">
        <w:rPr>
          <w:rFonts w:ascii="Arial" w:hAnsi="Arial" w:cs="Arial"/>
        </w:rPr>
        <w:t>”</w:t>
      </w:r>
      <w:r w:rsidR="00B0108C">
        <w:rPr>
          <w:rFonts w:ascii="Arial" w:hAnsi="Arial" w:cs="Arial"/>
        </w:rPr>
        <w:t xml:space="preserve"> (HR)</w:t>
      </w:r>
      <w:r w:rsidR="00B0108C" w:rsidRPr="00B0108C">
        <w:rPr>
          <w:rFonts w:ascii="Arial" w:hAnsi="Arial" w:cs="Arial"/>
        </w:rPr>
        <w:t xml:space="preserve"> </w:t>
      </w:r>
      <w:r w:rsidRPr="00B0108C">
        <w:rPr>
          <w:rFonts w:ascii="Arial" w:hAnsi="Arial" w:cs="Arial"/>
        </w:rPr>
        <w:t xml:space="preserve">to Financial Reporting, Accounting and </w:t>
      </w:r>
      <w:r w:rsidR="00D7126F" w:rsidRPr="00B0108C">
        <w:rPr>
          <w:rFonts w:ascii="Arial" w:hAnsi="Arial" w:cs="Arial"/>
        </w:rPr>
        <w:t>Monitoring.</w:t>
      </w:r>
    </w:p>
    <w:p w:rsidR="002F0570" w:rsidRDefault="002F0570" w:rsidP="00FF69C3">
      <w:pPr>
        <w:pStyle w:val="ListParagraph"/>
        <w:numPr>
          <w:ilvl w:val="0"/>
          <w:numId w:val="35"/>
        </w:numPr>
        <w:rPr>
          <w:rFonts w:ascii="Arial" w:hAnsi="Arial" w:cs="Arial"/>
        </w:rPr>
      </w:pPr>
      <w:r>
        <w:rPr>
          <w:rFonts w:ascii="Arial" w:hAnsi="Arial" w:cs="Arial"/>
        </w:rPr>
        <w:t>Payroll/HR was broken out into two activities.</w:t>
      </w:r>
    </w:p>
    <w:p w:rsidR="00D7126F" w:rsidRDefault="00D7126F" w:rsidP="00FF69C3">
      <w:pPr>
        <w:rPr>
          <w:rFonts w:ascii="Arial" w:hAnsi="Arial" w:cs="Arial"/>
        </w:rPr>
      </w:pPr>
    </w:p>
    <w:p w:rsidR="002F0570" w:rsidRDefault="002F0570" w:rsidP="002356F0">
      <w:pPr>
        <w:rPr>
          <w:rFonts w:ascii="Arial" w:hAnsi="Arial" w:cs="Arial"/>
        </w:rPr>
      </w:pPr>
      <w:r>
        <w:rPr>
          <w:rFonts w:ascii="Arial" w:hAnsi="Arial" w:cs="Arial"/>
        </w:rPr>
        <w:t xml:space="preserve">Sandy stated that she will be scheduling a meeting with each campus/institute </w:t>
      </w:r>
      <w:r w:rsidR="00D7126F">
        <w:rPr>
          <w:rFonts w:ascii="Arial" w:hAnsi="Arial" w:cs="Arial"/>
        </w:rPr>
        <w:t>regarding audit</w:t>
      </w:r>
      <w:r>
        <w:rPr>
          <w:rFonts w:ascii="Arial" w:hAnsi="Arial" w:cs="Arial"/>
        </w:rPr>
        <w:t>s. Be prepared to discuss:</w:t>
      </w:r>
    </w:p>
    <w:p w:rsidR="002F0570" w:rsidRDefault="002F0570" w:rsidP="002F0570">
      <w:pPr>
        <w:pStyle w:val="ListParagraph"/>
        <w:numPr>
          <w:ilvl w:val="0"/>
          <w:numId w:val="36"/>
        </w:numPr>
        <w:rPr>
          <w:rFonts w:ascii="Arial" w:hAnsi="Arial" w:cs="Arial"/>
        </w:rPr>
      </w:pPr>
      <w:r>
        <w:rPr>
          <w:rFonts w:ascii="Arial" w:hAnsi="Arial" w:cs="Arial"/>
        </w:rPr>
        <w:t>What is the purpose of your function?  What are the top three outcomes your area achieves?</w:t>
      </w:r>
    </w:p>
    <w:p w:rsidR="002F0570" w:rsidRDefault="002F0570" w:rsidP="002F0570">
      <w:pPr>
        <w:pStyle w:val="ListParagraph"/>
        <w:numPr>
          <w:ilvl w:val="0"/>
          <w:numId w:val="36"/>
        </w:numPr>
        <w:rPr>
          <w:rFonts w:ascii="Arial" w:hAnsi="Arial" w:cs="Arial"/>
        </w:rPr>
      </w:pPr>
      <w:r>
        <w:rPr>
          <w:rFonts w:ascii="Arial" w:hAnsi="Arial" w:cs="Arial"/>
        </w:rPr>
        <w:t>What are the most important processes that support those outcomes?</w:t>
      </w:r>
    </w:p>
    <w:p w:rsidR="002F0570" w:rsidRDefault="002F0570" w:rsidP="002F0570">
      <w:pPr>
        <w:pStyle w:val="ListParagraph"/>
        <w:numPr>
          <w:ilvl w:val="0"/>
          <w:numId w:val="36"/>
        </w:numPr>
        <w:rPr>
          <w:rFonts w:ascii="Arial" w:hAnsi="Arial" w:cs="Arial"/>
        </w:rPr>
      </w:pPr>
      <w:r>
        <w:rPr>
          <w:rFonts w:ascii="Arial" w:hAnsi="Arial" w:cs="Arial"/>
        </w:rPr>
        <w:t>What are the critical conditions upon which those processes depend?  What are the critical functions that, if not performed correctly, would hinder the operation of those processes?</w:t>
      </w:r>
    </w:p>
    <w:p w:rsidR="002F0570" w:rsidRDefault="002F0570" w:rsidP="002F0570">
      <w:pPr>
        <w:pStyle w:val="ListParagraph"/>
        <w:numPr>
          <w:ilvl w:val="0"/>
          <w:numId w:val="36"/>
        </w:numPr>
        <w:rPr>
          <w:rFonts w:ascii="Arial" w:hAnsi="Arial" w:cs="Arial"/>
        </w:rPr>
      </w:pPr>
      <w:r w:rsidRPr="002F0570">
        <w:rPr>
          <w:rFonts w:ascii="Arial" w:hAnsi="Arial" w:cs="Arial"/>
        </w:rPr>
        <w:t>How do you know these processes are happening or not happening?</w:t>
      </w:r>
      <w:r w:rsidR="009633AE">
        <w:rPr>
          <w:rFonts w:ascii="Arial" w:hAnsi="Arial" w:cs="Arial"/>
        </w:rPr>
        <w:br/>
      </w:r>
    </w:p>
    <w:p w:rsidR="002F0570" w:rsidRDefault="002F0570" w:rsidP="002F0570">
      <w:pPr>
        <w:pStyle w:val="ListParagraph"/>
        <w:ind w:left="1440"/>
        <w:rPr>
          <w:rFonts w:ascii="Arial" w:hAnsi="Arial" w:cs="Arial"/>
        </w:rPr>
      </w:pPr>
    </w:p>
    <w:p w:rsidR="00227A01" w:rsidRPr="002F0570" w:rsidRDefault="00101838" w:rsidP="002F0570">
      <w:pPr>
        <w:rPr>
          <w:rFonts w:ascii="Arial" w:hAnsi="Arial" w:cs="Arial"/>
        </w:rPr>
      </w:pPr>
      <w:r w:rsidRPr="002F0570">
        <w:rPr>
          <w:rFonts w:ascii="Arial" w:hAnsi="Arial" w:cs="Arial"/>
          <w:b/>
        </w:rPr>
        <w:t>Formula Review Committee Update – Peccolo/Cimino/Brown</w:t>
      </w:r>
      <w:r w:rsidR="008622DA" w:rsidRPr="002F0570">
        <w:rPr>
          <w:rFonts w:ascii="Arial" w:hAnsi="Arial" w:cs="Arial"/>
        </w:rPr>
        <w:br/>
      </w:r>
      <w:r w:rsidR="000469E9">
        <w:rPr>
          <w:rFonts w:ascii="Arial" w:hAnsi="Arial" w:cs="Arial"/>
        </w:rPr>
        <w:t xml:space="preserve">This committee </w:t>
      </w:r>
      <w:r w:rsidR="008622DA" w:rsidRPr="002F0570">
        <w:rPr>
          <w:rFonts w:ascii="Arial" w:hAnsi="Arial" w:cs="Arial"/>
        </w:rPr>
        <w:t xml:space="preserve">is looking at the </w:t>
      </w:r>
      <w:r w:rsidR="00E75416">
        <w:rPr>
          <w:rFonts w:ascii="Arial" w:hAnsi="Arial" w:cs="Arial"/>
        </w:rPr>
        <w:t xml:space="preserve">THEC </w:t>
      </w:r>
      <w:r w:rsidR="008622DA" w:rsidRPr="002F0570">
        <w:rPr>
          <w:rFonts w:ascii="Arial" w:hAnsi="Arial" w:cs="Arial"/>
        </w:rPr>
        <w:t xml:space="preserve">funding formula and different variables.  </w:t>
      </w:r>
      <w:r w:rsidR="00370CDA" w:rsidRPr="002F0570">
        <w:rPr>
          <w:rFonts w:ascii="Arial" w:hAnsi="Arial" w:cs="Arial"/>
        </w:rPr>
        <w:t xml:space="preserve">A </w:t>
      </w:r>
      <w:r w:rsidR="000469E9">
        <w:rPr>
          <w:rFonts w:ascii="Arial" w:hAnsi="Arial" w:cs="Arial"/>
        </w:rPr>
        <w:t>three</w:t>
      </w:r>
      <w:r w:rsidR="008622DA" w:rsidRPr="002F0570">
        <w:rPr>
          <w:rFonts w:ascii="Arial" w:hAnsi="Arial" w:cs="Arial"/>
        </w:rPr>
        <w:t>-year history of how funding has been distributed</w:t>
      </w:r>
      <w:r w:rsidR="00370CDA" w:rsidRPr="002F0570">
        <w:rPr>
          <w:rFonts w:ascii="Arial" w:hAnsi="Arial" w:cs="Arial"/>
        </w:rPr>
        <w:t xml:space="preserve"> was discussed.  There is only a</w:t>
      </w:r>
      <w:r w:rsidR="008622DA" w:rsidRPr="002F0570">
        <w:rPr>
          <w:rFonts w:ascii="Arial" w:hAnsi="Arial" w:cs="Arial"/>
        </w:rPr>
        <w:t xml:space="preserve"> </w:t>
      </w:r>
      <w:r w:rsidR="009633AE">
        <w:rPr>
          <w:rFonts w:ascii="Arial" w:hAnsi="Arial" w:cs="Arial"/>
        </w:rPr>
        <w:t>two</w:t>
      </w:r>
      <w:r w:rsidR="008622DA" w:rsidRPr="002F0570">
        <w:rPr>
          <w:rFonts w:ascii="Arial" w:hAnsi="Arial" w:cs="Arial"/>
        </w:rPr>
        <w:t xml:space="preserve"> percent </w:t>
      </w:r>
      <w:r w:rsidR="00370CDA" w:rsidRPr="002F0570">
        <w:rPr>
          <w:rFonts w:ascii="Arial" w:hAnsi="Arial" w:cs="Arial"/>
        </w:rPr>
        <w:t xml:space="preserve">change </w:t>
      </w:r>
      <w:r w:rsidR="008622DA" w:rsidRPr="002F0570">
        <w:rPr>
          <w:rFonts w:ascii="Arial" w:hAnsi="Arial" w:cs="Arial"/>
        </w:rPr>
        <w:t xml:space="preserve">among all the schools. </w:t>
      </w:r>
      <w:r w:rsidR="009633AE">
        <w:rPr>
          <w:rFonts w:ascii="Arial" w:hAnsi="Arial" w:cs="Arial"/>
        </w:rPr>
        <w:t>One time-consuming</w:t>
      </w:r>
      <w:r w:rsidR="000469E9">
        <w:rPr>
          <w:rFonts w:ascii="Arial" w:hAnsi="Arial" w:cs="Arial"/>
        </w:rPr>
        <w:t xml:space="preserve"> agenda item was trying to determine the definition of a “certificate” (which affects community colleges).  I</w:t>
      </w:r>
      <w:r w:rsidR="008622DA" w:rsidRPr="002F0570">
        <w:rPr>
          <w:rFonts w:ascii="Arial" w:hAnsi="Arial" w:cs="Arial"/>
        </w:rPr>
        <w:t>t was de</w:t>
      </w:r>
      <w:r w:rsidR="000469E9">
        <w:rPr>
          <w:rFonts w:ascii="Arial" w:hAnsi="Arial" w:cs="Arial"/>
        </w:rPr>
        <w:t>cided t</w:t>
      </w:r>
      <w:r w:rsidR="008622DA" w:rsidRPr="002F0570">
        <w:rPr>
          <w:rFonts w:ascii="Arial" w:hAnsi="Arial" w:cs="Arial"/>
        </w:rPr>
        <w:t xml:space="preserve">hat certificates </w:t>
      </w:r>
      <w:r w:rsidR="000469E9">
        <w:rPr>
          <w:rFonts w:ascii="Arial" w:hAnsi="Arial" w:cs="Arial"/>
        </w:rPr>
        <w:t>will</w:t>
      </w:r>
      <w:r w:rsidR="008622DA" w:rsidRPr="002F0570">
        <w:rPr>
          <w:rFonts w:ascii="Arial" w:hAnsi="Arial" w:cs="Arial"/>
        </w:rPr>
        <w:t xml:space="preserve"> only be counted if an associate’s degree is not obtained.  </w:t>
      </w:r>
      <w:r w:rsidR="000469E9">
        <w:rPr>
          <w:rFonts w:ascii="Arial" w:hAnsi="Arial" w:cs="Arial"/>
        </w:rPr>
        <w:t>This should ensure that the numbers are not inflated.  THEC also mentioned submission of</w:t>
      </w:r>
      <w:r w:rsidR="00370CDA" w:rsidRPr="002F0570">
        <w:rPr>
          <w:rFonts w:ascii="Arial" w:hAnsi="Arial" w:cs="Arial"/>
        </w:rPr>
        <w:t xml:space="preserve"> incorrect degre</w:t>
      </w:r>
      <w:r w:rsidR="000469E9">
        <w:rPr>
          <w:rFonts w:ascii="Arial" w:hAnsi="Arial" w:cs="Arial"/>
        </w:rPr>
        <w:t>e information.  The numbers are actually not as high as reported.</w:t>
      </w:r>
      <w:r w:rsidR="009633AE">
        <w:rPr>
          <w:rFonts w:ascii="Arial" w:hAnsi="Arial" w:cs="Arial"/>
        </w:rPr>
        <w:br/>
      </w:r>
      <w:r w:rsidR="009633AE">
        <w:rPr>
          <w:rFonts w:ascii="Arial" w:hAnsi="Arial" w:cs="Arial"/>
        </w:rPr>
        <w:br/>
      </w:r>
      <w:r w:rsidR="009633AE">
        <w:rPr>
          <w:rFonts w:ascii="Arial" w:hAnsi="Arial" w:cs="Arial"/>
        </w:rPr>
        <w:br/>
      </w:r>
      <w:r w:rsidRPr="002F0570">
        <w:rPr>
          <w:rFonts w:ascii="Arial" w:hAnsi="Arial" w:cs="Arial"/>
          <w:b/>
        </w:rPr>
        <w:t>FY 2014 State Appropriations – Peccolo/Loewen</w:t>
      </w:r>
      <w:r w:rsidR="00370CDA" w:rsidRPr="002F0570">
        <w:rPr>
          <w:rFonts w:ascii="Arial" w:hAnsi="Arial" w:cs="Arial"/>
          <w:b/>
        </w:rPr>
        <w:br/>
      </w:r>
      <w:proofErr w:type="gramStart"/>
      <w:r w:rsidR="00370CDA" w:rsidRPr="002F0570">
        <w:rPr>
          <w:rFonts w:ascii="Arial" w:hAnsi="Arial" w:cs="Arial"/>
        </w:rPr>
        <w:t>To</w:t>
      </w:r>
      <w:proofErr w:type="gramEnd"/>
      <w:r w:rsidR="000469E9">
        <w:rPr>
          <w:rFonts w:ascii="Arial" w:hAnsi="Arial" w:cs="Arial"/>
        </w:rPr>
        <w:t xml:space="preserve"> </w:t>
      </w:r>
      <w:r w:rsidR="00370CDA" w:rsidRPr="002F0570">
        <w:rPr>
          <w:rFonts w:ascii="Arial" w:hAnsi="Arial" w:cs="Arial"/>
        </w:rPr>
        <w:t xml:space="preserve">date, no instructions have been received from THEC.  </w:t>
      </w:r>
      <w:r w:rsidR="00CA2FED" w:rsidRPr="002F0570">
        <w:rPr>
          <w:rFonts w:ascii="Arial" w:hAnsi="Arial" w:cs="Arial"/>
        </w:rPr>
        <w:t>Although revenues have increased, s</w:t>
      </w:r>
      <w:r w:rsidR="00370CDA" w:rsidRPr="002F0570">
        <w:rPr>
          <w:rFonts w:ascii="Arial" w:hAnsi="Arial" w:cs="Arial"/>
        </w:rPr>
        <w:t>tate agencies are to be thinking about a plan for a 5 percent reduction.</w:t>
      </w:r>
      <w:r w:rsidR="00CA2FED" w:rsidRPr="002F0570">
        <w:rPr>
          <w:rFonts w:ascii="Arial" w:hAnsi="Arial" w:cs="Arial"/>
        </w:rPr>
        <w:t xml:space="preserve"> Collections for the past three months have </w:t>
      </w:r>
      <w:r w:rsidR="00227A01" w:rsidRPr="002F0570">
        <w:rPr>
          <w:rFonts w:ascii="Arial" w:hAnsi="Arial" w:cs="Arial"/>
        </w:rPr>
        <w:t xml:space="preserve">remained stagnant. </w:t>
      </w:r>
      <w:r w:rsidR="009633AE">
        <w:rPr>
          <w:rFonts w:ascii="Arial" w:hAnsi="Arial" w:cs="Arial"/>
        </w:rPr>
        <w:br/>
      </w:r>
      <w:r w:rsidR="002356F0" w:rsidRPr="002F0570">
        <w:rPr>
          <w:rFonts w:ascii="Arial" w:hAnsi="Arial" w:cs="Arial"/>
          <w:b/>
        </w:rPr>
        <w:t>Distance Ed Pricing – Katie H</w:t>
      </w:r>
      <w:r w:rsidR="007B3B8C">
        <w:rPr>
          <w:rFonts w:ascii="Arial" w:hAnsi="Arial" w:cs="Arial"/>
          <w:b/>
        </w:rPr>
        <w:t>igh</w:t>
      </w:r>
      <w:r w:rsidR="00227A01" w:rsidRPr="002F0570">
        <w:rPr>
          <w:rFonts w:ascii="Arial" w:hAnsi="Arial" w:cs="Arial"/>
        </w:rPr>
        <w:br/>
        <w:t xml:space="preserve">Academic units are looking at on-line courses.  </w:t>
      </w:r>
      <w:r w:rsidR="00777F07">
        <w:rPr>
          <w:rFonts w:ascii="Arial" w:hAnsi="Arial" w:cs="Arial"/>
        </w:rPr>
        <w:t xml:space="preserve">There is a need to determine </w:t>
      </w:r>
      <w:r w:rsidR="00227A01" w:rsidRPr="002F0570">
        <w:rPr>
          <w:rFonts w:ascii="Arial" w:hAnsi="Arial" w:cs="Arial"/>
        </w:rPr>
        <w:t xml:space="preserve">if </w:t>
      </w:r>
      <w:r w:rsidR="00777F07">
        <w:rPr>
          <w:rFonts w:ascii="Arial" w:hAnsi="Arial" w:cs="Arial"/>
        </w:rPr>
        <w:t xml:space="preserve">these classes are being offering to </w:t>
      </w:r>
      <w:r w:rsidR="00227A01" w:rsidRPr="002F0570">
        <w:rPr>
          <w:rFonts w:ascii="Arial" w:hAnsi="Arial" w:cs="Arial"/>
        </w:rPr>
        <w:t xml:space="preserve">out-of-state individuals.  </w:t>
      </w:r>
      <w:r w:rsidR="000469E9">
        <w:rPr>
          <w:rFonts w:ascii="Arial" w:hAnsi="Arial" w:cs="Arial"/>
        </w:rPr>
        <w:t>Questions include “What is an online course?” and “Who is offering the course?”</w:t>
      </w:r>
      <w:r w:rsidR="00227A01" w:rsidRPr="002F0570">
        <w:rPr>
          <w:rFonts w:ascii="Arial" w:hAnsi="Arial" w:cs="Arial"/>
        </w:rPr>
        <w:t xml:space="preserve">  </w:t>
      </w:r>
    </w:p>
    <w:p w:rsidR="00227A01" w:rsidRDefault="00227A01" w:rsidP="002356F0">
      <w:pPr>
        <w:rPr>
          <w:rFonts w:ascii="Arial" w:hAnsi="Arial" w:cs="Arial"/>
        </w:rPr>
      </w:pPr>
    </w:p>
    <w:p w:rsidR="002A78DB" w:rsidRDefault="00227A01" w:rsidP="002356F0">
      <w:pPr>
        <w:rPr>
          <w:rFonts w:ascii="Arial" w:hAnsi="Arial" w:cs="Arial"/>
        </w:rPr>
      </w:pPr>
      <w:r>
        <w:rPr>
          <w:rFonts w:ascii="Arial" w:hAnsi="Arial" w:cs="Arial"/>
        </w:rPr>
        <w:t xml:space="preserve">For credit </w:t>
      </w:r>
      <w:proofErr w:type="gramStart"/>
      <w:r>
        <w:rPr>
          <w:rFonts w:ascii="Arial" w:hAnsi="Arial" w:cs="Arial"/>
        </w:rPr>
        <w:t xml:space="preserve">courses, an </w:t>
      </w:r>
      <w:r w:rsidRPr="000469E9">
        <w:rPr>
          <w:rFonts w:ascii="Arial" w:hAnsi="Arial" w:cs="Arial"/>
          <w:b/>
        </w:rPr>
        <w:t>online course</w:t>
      </w:r>
      <w:r>
        <w:rPr>
          <w:rFonts w:ascii="Arial" w:hAnsi="Arial" w:cs="Arial"/>
        </w:rPr>
        <w:t xml:space="preserve"> is</w:t>
      </w:r>
      <w:proofErr w:type="gramEnd"/>
      <w:r>
        <w:rPr>
          <w:rFonts w:ascii="Arial" w:hAnsi="Arial" w:cs="Arial"/>
        </w:rPr>
        <w:t xml:space="preserve"> </w:t>
      </w:r>
      <w:r w:rsidR="00777F07">
        <w:rPr>
          <w:rFonts w:ascii="Arial" w:hAnsi="Arial" w:cs="Arial"/>
        </w:rPr>
        <w:t>one</w:t>
      </w:r>
      <w:r>
        <w:rPr>
          <w:rFonts w:ascii="Arial" w:hAnsi="Arial" w:cs="Arial"/>
        </w:rPr>
        <w:t xml:space="preserve"> in which no face-to-face interac</w:t>
      </w:r>
      <w:r w:rsidR="005042EB">
        <w:rPr>
          <w:rFonts w:ascii="Arial" w:hAnsi="Arial" w:cs="Arial"/>
        </w:rPr>
        <w:t xml:space="preserve">tion occurs and </w:t>
      </w:r>
      <w:r>
        <w:rPr>
          <w:rFonts w:ascii="Arial" w:hAnsi="Arial" w:cs="Arial"/>
        </w:rPr>
        <w:t xml:space="preserve">interaction is </w:t>
      </w:r>
      <w:r w:rsidR="005042EB">
        <w:rPr>
          <w:rFonts w:ascii="Arial" w:hAnsi="Arial" w:cs="Arial"/>
        </w:rPr>
        <w:t xml:space="preserve">entirely </w:t>
      </w:r>
      <w:r>
        <w:rPr>
          <w:rFonts w:ascii="Arial" w:hAnsi="Arial" w:cs="Arial"/>
        </w:rPr>
        <w:t xml:space="preserve">virtual.  </w:t>
      </w:r>
      <w:r w:rsidR="000469E9">
        <w:rPr>
          <w:rFonts w:ascii="Arial" w:hAnsi="Arial" w:cs="Arial"/>
        </w:rPr>
        <w:t xml:space="preserve">A </w:t>
      </w:r>
      <w:r w:rsidR="000469E9" w:rsidRPr="000469E9">
        <w:rPr>
          <w:rFonts w:ascii="Arial" w:hAnsi="Arial" w:cs="Arial"/>
          <w:b/>
        </w:rPr>
        <w:t>b</w:t>
      </w:r>
      <w:r w:rsidRPr="000469E9">
        <w:rPr>
          <w:rFonts w:ascii="Arial" w:hAnsi="Arial" w:cs="Arial"/>
          <w:b/>
        </w:rPr>
        <w:t>lended course</w:t>
      </w:r>
      <w:r>
        <w:rPr>
          <w:rFonts w:ascii="Arial" w:hAnsi="Arial" w:cs="Arial"/>
        </w:rPr>
        <w:t xml:space="preserve"> would be one where students participate in class both on-campus and online. Both require technological infrastructure. How do we designate these courses to show u</w:t>
      </w:r>
      <w:r w:rsidR="00777F07">
        <w:rPr>
          <w:rFonts w:ascii="Arial" w:hAnsi="Arial" w:cs="Arial"/>
        </w:rPr>
        <w:t>p in Banner?</w:t>
      </w:r>
      <w:r>
        <w:rPr>
          <w:rFonts w:ascii="Arial" w:hAnsi="Arial" w:cs="Arial"/>
        </w:rPr>
        <w:t xml:space="preserve">  </w:t>
      </w:r>
      <w:r w:rsidR="00BC30B3">
        <w:rPr>
          <w:rFonts w:ascii="Arial" w:hAnsi="Arial" w:cs="Arial"/>
        </w:rPr>
        <w:t>In the past, these courses were classified as</w:t>
      </w:r>
      <w:r w:rsidR="00623CBC">
        <w:rPr>
          <w:rFonts w:ascii="Arial" w:hAnsi="Arial" w:cs="Arial"/>
        </w:rPr>
        <w:t xml:space="preserve"> “</w:t>
      </w:r>
      <w:r w:rsidR="00BC30B3">
        <w:rPr>
          <w:rFonts w:ascii="Arial" w:hAnsi="Arial" w:cs="Arial"/>
        </w:rPr>
        <w:t xml:space="preserve">correspondence courses” and </w:t>
      </w:r>
      <w:r w:rsidR="00623CBC">
        <w:rPr>
          <w:rFonts w:ascii="Arial" w:hAnsi="Arial" w:cs="Arial"/>
        </w:rPr>
        <w:t xml:space="preserve">were charged at the regular fee plus an online fee.  </w:t>
      </w:r>
      <w:r w:rsidR="001A4CB0">
        <w:rPr>
          <w:rFonts w:ascii="Arial" w:hAnsi="Arial" w:cs="Arial"/>
        </w:rPr>
        <w:t xml:space="preserve">The four </w:t>
      </w:r>
      <w:r w:rsidR="003E7D0C">
        <w:rPr>
          <w:rFonts w:ascii="Arial" w:hAnsi="Arial" w:cs="Arial"/>
        </w:rPr>
        <w:t>universities involved will meet to determine the</w:t>
      </w:r>
      <w:r w:rsidR="001A4CB0">
        <w:rPr>
          <w:rFonts w:ascii="Arial" w:hAnsi="Arial" w:cs="Arial"/>
        </w:rPr>
        <w:t xml:space="preserve"> best practice.</w:t>
      </w:r>
      <w:r w:rsidR="00777F07">
        <w:rPr>
          <w:rFonts w:ascii="Arial" w:hAnsi="Arial" w:cs="Arial"/>
        </w:rPr>
        <w:br/>
      </w:r>
      <w:r w:rsidR="009633AE">
        <w:rPr>
          <w:rFonts w:ascii="Arial" w:hAnsi="Arial" w:cs="Arial"/>
        </w:rPr>
        <w:br/>
      </w:r>
      <w:r w:rsidR="00777F07">
        <w:rPr>
          <w:rFonts w:ascii="Arial" w:hAnsi="Arial" w:cs="Arial"/>
        </w:rPr>
        <w:br/>
      </w:r>
      <w:r w:rsidR="002A78DB" w:rsidRPr="00227A01">
        <w:rPr>
          <w:rFonts w:ascii="Arial" w:hAnsi="Arial" w:cs="Arial"/>
          <w:b/>
        </w:rPr>
        <w:t>E&amp;G Square Footage Funding Effect – Peccolo</w:t>
      </w:r>
      <w:r>
        <w:rPr>
          <w:rFonts w:ascii="Arial" w:hAnsi="Arial" w:cs="Arial"/>
        </w:rPr>
        <w:br/>
      </w:r>
      <w:r w:rsidR="00125E10">
        <w:rPr>
          <w:rFonts w:ascii="Arial" w:hAnsi="Arial" w:cs="Arial"/>
        </w:rPr>
        <w:t xml:space="preserve">Revised </w:t>
      </w:r>
      <w:r>
        <w:rPr>
          <w:rFonts w:ascii="Arial" w:hAnsi="Arial" w:cs="Arial"/>
        </w:rPr>
        <w:t xml:space="preserve">THEC </w:t>
      </w:r>
      <w:r w:rsidR="00125E10">
        <w:rPr>
          <w:rFonts w:ascii="Arial" w:hAnsi="Arial" w:cs="Arial"/>
        </w:rPr>
        <w:t xml:space="preserve">space guidelines have reduced E &amp; G space at all campuses. THEC </w:t>
      </w:r>
      <w:r>
        <w:rPr>
          <w:rFonts w:ascii="Arial" w:hAnsi="Arial" w:cs="Arial"/>
        </w:rPr>
        <w:t xml:space="preserve">has </w:t>
      </w:r>
      <w:r w:rsidR="008C678C">
        <w:rPr>
          <w:rFonts w:ascii="Arial" w:hAnsi="Arial" w:cs="Arial"/>
        </w:rPr>
        <w:t>decided to redistribute</w:t>
      </w:r>
      <w:r w:rsidR="00777F07">
        <w:rPr>
          <w:rFonts w:ascii="Arial" w:hAnsi="Arial" w:cs="Arial"/>
        </w:rPr>
        <w:t xml:space="preserve"> appropriations based on an increase of 10,000 E&amp;</w:t>
      </w:r>
      <w:r w:rsidR="008C678C">
        <w:rPr>
          <w:rFonts w:ascii="Arial" w:hAnsi="Arial" w:cs="Arial"/>
        </w:rPr>
        <w:t>G</w:t>
      </w:r>
      <w:r w:rsidR="00777F07">
        <w:rPr>
          <w:rFonts w:ascii="Arial" w:hAnsi="Arial" w:cs="Arial"/>
        </w:rPr>
        <w:t xml:space="preserve"> square footage at each institution.  </w:t>
      </w:r>
      <w:r w:rsidR="00623CBC">
        <w:rPr>
          <w:rFonts w:ascii="Arial" w:hAnsi="Arial" w:cs="Arial"/>
        </w:rPr>
        <w:t xml:space="preserve">Funding adjustments will be </w:t>
      </w:r>
      <w:r w:rsidR="00777F07">
        <w:rPr>
          <w:rFonts w:ascii="Arial" w:hAnsi="Arial" w:cs="Arial"/>
        </w:rPr>
        <w:t>phased in one institution at a time.</w:t>
      </w:r>
      <w:r w:rsidR="002063BF">
        <w:rPr>
          <w:rFonts w:ascii="Arial" w:hAnsi="Arial" w:cs="Arial"/>
        </w:rPr>
        <w:t xml:space="preserve"> The cost to each campus</w:t>
      </w:r>
      <w:r w:rsidR="00A71C32">
        <w:rPr>
          <w:rFonts w:ascii="Arial" w:hAnsi="Arial" w:cs="Arial"/>
        </w:rPr>
        <w:t xml:space="preserve"> </w:t>
      </w:r>
      <w:proofErr w:type="gramStart"/>
      <w:r w:rsidR="00A71C32">
        <w:rPr>
          <w:rFonts w:ascii="Arial" w:hAnsi="Arial" w:cs="Arial"/>
        </w:rPr>
        <w:t xml:space="preserve">per 10,000 </w:t>
      </w:r>
      <w:proofErr w:type="spellStart"/>
      <w:r w:rsidR="00A71C32">
        <w:rPr>
          <w:rFonts w:ascii="Arial" w:hAnsi="Arial" w:cs="Arial"/>
        </w:rPr>
        <w:t>sq.ft</w:t>
      </w:r>
      <w:proofErr w:type="spellEnd"/>
      <w:proofErr w:type="gramEnd"/>
      <w:r w:rsidR="00A71C32">
        <w:rPr>
          <w:rFonts w:ascii="Arial" w:hAnsi="Arial" w:cs="Arial"/>
        </w:rPr>
        <w:t>.</w:t>
      </w:r>
      <w:r w:rsidR="002063BF">
        <w:rPr>
          <w:rFonts w:ascii="Arial" w:hAnsi="Arial" w:cs="Arial"/>
        </w:rPr>
        <w:t xml:space="preserve"> is: UTC - $28,700; UTK - $22,600 and UTM - $26,300.</w:t>
      </w:r>
    </w:p>
    <w:p w:rsidR="00FE1217" w:rsidRPr="0054053A" w:rsidRDefault="00FE1217" w:rsidP="00777F07">
      <w:pPr>
        <w:rPr>
          <w:rFonts w:ascii="Arial" w:hAnsi="Arial" w:cs="Arial"/>
        </w:rPr>
      </w:pPr>
    </w:p>
    <w:p w:rsidR="00B77ABF" w:rsidRDefault="00B77ABF">
      <w:pPr>
        <w:ind w:left="0"/>
        <w:rPr>
          <w:rFonts w:ascii="Arial" w:hAnsi="Arial" w:cs="Arial"/>
          <w:b/>
          <w:u w:val="single"/>
        </w:rPr>
      </w:pPr>
    </w:p>
    <w:p w:rsidR="00504A0B" w:rsidRDefault="009F5ABD" w:rsidP="00504A0B">
      <w:r w:rsidRPr="0054053A">
        <w:rPr>
          <w:rFonts w:ascii="Arial" w:hAnsi="Arial" w:cs="Arial"/>
          <w:b/>
          <w:u w:val="single"/>
        </w:rPr>
        <w:t>September 20,</w:t>
      </w:r>
      <w:r w:rsidR="000F37A8" w:rsidRPr="0054053A">
        <w:rPr>
          <w:rFonts w:ascii="Arial" w:hAnsi="Arial" w:cs="Arial"/>
          <w:b/>
          <w:u w:val="single"/>
        </w:rPr>
        <w:t xml:space="preserve"> 201</w:t>
      </w:r>
      <w:r w:rsidR="0029212C" w:rsidRPr="0054053A">
        <w:rPr>
          <w:rFonts w:ascii="Arial" w:hAnsi="Arial" w:cs="Arial"/>
          <w:b/>
          <w:u w:val="single"/>
        </w:rPr>
        <w:t>2</w:t>
      </w:r>
      <w:r w:rsidR="00777F07">
        <w:rPr>
          <w:rFonts w:ascii="Arial" w:hAnsi="Arial" w:cs="Arial"/>
          <w:b/>
          <w:u w:val="single"/>
        </w:rPr>
        <w:br/>
      </w:r>
      <w:r w:rsidR="00777F07">
        <w:rPr>
          <w:rFonts w:ascii="Arial" w:hAnsi="Arial" w:cs="Arial"/>
          <w:b/>
          <w:u w:val="single"/>
        </w:rPr>
        <w:br/>
      </w:r>
      <w:r w:rsidR="001952E6" w:rsidRPr="005829F2">
        <w:rPr>
          <w:rFonts w:ascii="Arial" w:hAnsi="Arial" w:cs="Arial"/>
          <w:b/>
        </w:rPr>
        <w:t>Capital Projects Update – Robbi Stivers</w:t>
      </w:r>
      <w:r w:rsidR="00CE7765">
        <w:rPr>
          <w:rFonts w:ascii="Arial" w:hAnsi="Arial" w:cs="Arial"/>
        </w:rPr>
        <w:br/>
        <w:t>Robbi is work</w:t>
      </w:r>
      <w:r w:rsidR="00C435F5">
        <w:rPr>
          <w:rFonts w:ascii="Arial" w:hAnsi="Arial" w:cs="Arial"/>
        </w:rPr>
        <w:t xml:space="preserve">ing to fill his former position and a budget director.  </w:t>
      </w:r>
      <w:r w:rsidR="0084590C">
        <w:rPr>
          <w:rFonts w:ascii="Arial" w:hAnsi="Arial" w:cs="Arial"/>
        </w:rPr>
        <w:t>A new d</w:t>
      </w:r>
      <w:r w:rsidR="00D1656A">
        <w:rPr>
          <w:rFonts w:ascii="Arial" w:hAnsi="Arial" w:cs="Arial"/>
        </w:rPr>
        <w:t xml:space="preserve">iversity guideline is requiring UT to </w:t>
      </w:r>
      <w:r w:rsidR="00376693">
        <w:rPr>
          <w:rFonts w:ascii="Arial" w:hAnsi="Arial" w:cs="Arial"/>
        </w:rPr>
        <w:t>involve more minority contractors</w:t>
      </w:r>
      <w:r w:rsidR="00D1656A">
        <w:rPr>
          <w:rFonts w:ascii="Arial" w:hAnsi="Arial" w:cs="Arial"/>
        </w:rPr>
        <w:t xml:space="preserve">.  We are now permitted to spend up to </w:t>
      </w:r>
      <w:r w:rsidR="00376693">
        <w:rPr>
          <w:rFonts w:ascii="Arial" w:hAnsi="Arial" w:cs="Arial"/>
        </w:rPr>
        <w:t>$175,000</w:t>
      </w:r>
      <w:r w:rsidR="00D1656A">
        <w:rPr>
          <w:rFonts w:ascii="Arial" w:hAnsi="Arial" w:cs="Arial"/>
        </w:rPr>
        <w:t xml:space="preserve"> on capital projects without SBC approval.  Any costs expended on the </w:t>
      </w:r>
      <w:r w:rsidR="00376693">
        <w:rPr>
          <w:rFonts w:ascii="Arial" w:hAnsi="Arial" w:cs="Arial"/>
        </w:rPr>
        <w:t xml:space="preserve">planning process can be counted toward </w:t>
      </w:r>
      <w:r w:rsidR="00D1656A">
        <w:rPr>
          <w:rFonts w:ascii="Arial" w:hAnsi="Arial" w:cs="Arial"/>
        </w:rPr>
        <w:t xml:space="preserve">the required </w:t>
      </w:r>
      <w:r w:rsidR="00376693">
        <w:rPr>
          <w:rFonts w:ascii="Arial" w:hAnsi="Arial" w:cs="Arial"/>
        </w:rPr>
        <w:t>25</w:t>
      </w:r>
      <w:r w:rsidR="00D1656A">
        <w:rPr>
          <w:rFonts w:ascii="Arial" w:hAnsi="Arial" w:cs="Arial"/>
        </w:rPr>
        <w:t xml:space="preserve"> percent match.  S</w:t>
      </w:r>
      <w:r w:rsidR="00376693">
        <w:rPr>
          <w:rFonts w:ascii="Arial" w:hAnsi="Arial" w:cs="Arial"/>
        </w:rPr>
        <w:t>tatus reports</w:t>
      </w:r>
      <w:r w:rsidR="00D1656A">
        <w:rPr>
          <w:rFonts w:ascii="Arial" w:hAnsi="Arial" w:cs="Arial"/>
        </w:rPr>
        <w:t xml:space="preserve"> are currently being distributed - </w:t>
      </w:r>
      <w:r w:rsidR="00376693">
        <w:rPr>
          <w:rFonts w:ascii="Arial" w:hAnsi="Arial" w:cs="Arial"/>
        </w:rPr>
        <w:t xml:space="preserve">additional reports will be </w:t>
      </w:r>
      <w:r w:rsidR="00D1656A">
        <w:rPr>
          <w:rFonts w:ascii="Arial" w:hAnsi="Arial" w:cs="Arial"/>
        </w:rPr>
        <w:t xml:space="preserve">available </w:t>
      </w:r>
      <w:r w:rsidR="00376693">
        <w:rPr>
          <w:rFonts w:ascii="Arial" w:hAnsi="Arial" w:cs="Arial"/>
        </w:rPr>
        <w:t>in the future</w:t>
      </w:r>
      <w:r w:rsidR="00D1656A">
        <w:rPr>
          <w:rFonts w:ascii="Arial" w:hAnsi="Arial" w:cs="Arial"/>
        </w:rPr>
        <w:t xml:space="preserve">.  We are </w:t>
      </w:r>
      <w:r w:rsidR="00B72B85">
        <w:rPr>
          <w:rFonts w:ascii="Arial" w:hAnsi="Arial" w:cs="Arial"/>
        </w:rPr>
        <w:t>working on contract language to address the behavior of contrac</w:t>
      </w:r>
      <w:r w:rsidR="00D1656A">
        <w:rPr>
          <w:rFonts w:ascii="Arial" w:hAnsi="Arial" w:cs="Arial"/>
        </w:rPr>
        <w:t xml:space="preserve">tors when working with campuses.  </w:t>
      </w:r>
      <w:r w:rsidR="00B72B85">
        <w:rPr>
          <w:rFonts w:ascii="Arial" w:hAnsi="Arial" w:cs="Arial"/>
        </w:rPr>
        <w:t xml:space="preserve"> Purchasing is concerned that bids are</w:t>
      </w:r>
      <w:r w:rsidR="00D1656A">
        <w:rPr>
          <w:rFonts w:ascii="Arial" w:hAnsi="Arial" w:cs="Arial"/>
        </w:rPr>
        <w:t xml:space="preserve"> not</w:t>
      </w:r>
      <w:r w:rsidR="00B72B85">
        <w:rPr>
          <w:rFonts w:ascii="Arial" w:hAnsi="Arial" w:cs="Arial"/>
        </w:rPr>
        <w:t xml:space="preserve"> ADA compliant and </w:t>
      </w:r>
      <w:r w:rsidR="00D1656A">
        <w:rPr>
          <w:rFonts w:ascii="Arial" w:hAnsi="Arial" w:cs="Arial"/>
        </w:rPr>
        <w:t xml:space="preserve">do not </w:t>
      </w:r>
      <w:r w:rsidR="00B72B85">
        <w:rPr>
          <w:rFonts w:ascii="Arial" w:hAnsi="Arial" w:cs="Arial"/>
        </w:rPr>
        <w:t xml:space="preserve">comply </w:t>
      </w:r>
      <w:r w:rsidR="00D1656A">
        <w:rPr>
          <w:rFonts w:ascii="Arial" w:hAnsi="Arial" w:cs="Arial"/>
        </w:rPr>
        <w:t>with the s</w:t>
      </w:r>
      <w:r w:rsidR="00B72B85">
        <w:rPr>
          <w:rFonts w:ascii="Arial" w:hAnsi="Arial" w:cs="Arial"/>
        </w:rPr>
        <w:t>tate-level designer manual</w:t>
      </w:r>
      <w:r w:rsidR="00D1656A">
        <w:rPr>
          <w:rFonts w:ascii="Arial" w:hAnsi="Arial" w:cs="Arial"/>
        </w:rPr>
        <w:t>.</w:t>
      </w:r>
      <w:r w:rsidR="0084590C">
        <w:rPr>
          <w:rFonts w:ascii="Arial" w:hAnsi="Arial" w:cs="Arial"/>
        </w:rPr>
        <w:br/>
      </w:r>
      <w:r w:rsidR="00376693">
        <w:rPr>
          <w:rFonts w:ascii="Arial" w:hAnsi="Arial" w:cs="Arial"/>
        </w:rPr>
        <w:br/>
      </w:r>
      <w:r w:rsidR="00376693">
        <w:rPr>
          <w:rFonts w:ascii="Arial" w:hAnsi="Arial" w:cs="Arial"/>
        </w:rPr>
        <w:br/>
      </w:r>
      <w:r w:rsidR="001952E6" w:rsidRPr="00F9431D">
        <w:rPr>
          <w:rFonts w:ascii="Arial" w:hAnsi="Arial" w:cs="Arial"/>
          <w:b/>
        </w:rPr>
        <w:t xml:space="preserve">Archibus Update </w:t>
      </w:r>
      <w:r w:rsidR="00CA2FED" w:rsidRPr="00F9431D">
        <w:rPr>
          <w:rFonts w:ascii="Arial" w:hAnsi="Arial" w:cs="Arial"/>
          <w:b/>
        </w:rPr>
        <w:t>– Les Mathews and Robbi Stivers</w:t>
      </w:r>
      <w:r w:rsidR="00376693">
        <w:rPr>
          <w:rFonts w:ascii="Arial" w:hAnsi="Arial" w:cs="Arial"/>
        </w:rPr>
        <w:br/>
      </w:r>
      <w:proofErr w:type="gramStart"/>
      <w:r w:rsidR="00026DF9">
        <w:rPr>
          <w:rFonts w:ascii="Arial" w:hAnsi="Arial" w:cs="Arial"/>
        </w:rPr>
        <w:t>A</w:t>
      </w:r>
      <w:proofErr w:type="gramEnd"/>
      <w:r w:rsidR="00026DF9">
        <w:rPr>
          <w:rFonts w:ascii="Arial" w:hAnsi="Arial" w:cs="Arial"/>
        </w:rPr>
        <w:t xml:space="preserve"> goal has been established to </w:t>
      </w:r>
      <w:r w:rsidR="00B72B85">
        <w:rPr>
          <w:rFonts w:ascii="Arial" w:hAnsi="Arial" w:cs="Arial"/>
        </w:rPr>
        <w:t xml:space="preserve">make </w:t>
      </w:r>
      <w:r w:rsidR="00D1656A">
        <w:rPr>
          <w:rFonts w:ascii="Arial" w:hAnsi="Arial" w:cs="Arial"/>
        </w:rPr>
        <w:t xml:space="preserve">the </w:t>
      </w:r>
      <w:r w:rsidR="00F9431D">
        <w:rPr>
          <w:rFonts w:ascii="Arial" w:hAnsi="Arial" w:cs="Arial"/>
        </w:rPr>
        <w:t xml:space="preserve">space management </w:t>
      </w:r>
      <w:r w:rsidR="00B72B85">
        <w:rPr>
          <w:rFonts w:ascii="Arial" w:hAnsi="Arial" w:cs="Arial"/>
        </w:rPr>
        <w:t>reports easier to complete</w:t>
      </w:r>
      <w:r w:rsidR="00026DF9">
        <w:rPr>
          <w:rFonts w:ascii="Arial" w:hAnsi="Arial" w:cs="Arial"/>
        </w:rPr>
        <w:t>.  A committee will be established</w:t>
      </w:r>
      <w:r w:rsidR="00B72B85">
        <w:rPr>
          <w:rFonts w:ascii="Arial" w:hAnsi="Arial" w:cs="Arial"/>
        </w:rPr>
        <w:t xml:space="preserve"> with representation from each campus</w:t>
      </w:r>
      <w:r w:rsidR="00026DF9">
        <w:rPr>
          <w:rFonts w:ascii="Arial" w:hAnsi="Arial" w:cs="Arial"/>
        </w:rPr>
        <w:t xml:space="preserve">.  Robbi </w:t>
      </w:r>
      <w:r w:rsidR="00B72B85">
        <w:rPr>
          <w:rFonts w:ascii="Arial" w:hAnsi="Arial" w:cs="Arial"/>
        </w:rPr>
        <w:t xml:space="preserve">believes the software </w:t>
      </w:r>
      <w:r w:rsidR="0084590C">
        <w:rPr>
          <w:rFonts w:ascii="Arial" w:hAnsi="Arial" w:cs="Arial"/>
        </w:rPr>
        <w:t xml:space="preserve">needs </w:t>
      </w:r>
      <w:r w:rsidR="00B72B85">
        <w:rPr>
          <w:rFonts w:ascii="Arial" w:hAnsi="Arial" w:cs="Arial"/>
        </w:rPr>
        <w:t>to link with IRIS. Memphis is currently using this software, but is having diffic</w:t>
      </w:r>
      <w:r w:rsidR="00026DF9">
        <w:rPr>
          <w:rFonts w:ascii="Arial" w:hAnsi="Arial" w:cs="Arial"/>
        </w:rPr>
        <w:t>ultly matching floor plans with the data in IRIS.</w:t>
      </w:r>
      <w:r w:rsidR="00F937F5">
        <w:rPr>
          <w:rFonts w:ascii="Arial" w:hAnsi="Arial" w:cs="Arial"/>
        </w:rPr>
        <w:t xml:space="preserve"> The Space Utilization module is the only part of the software being used. </w:t>
      </w:r>
      <w:r w:rsidR="0084590C">
        <w:rPr>
          <w:rFonts w:ascii="Arial" w:hAnsi="Arial" w:cs="Arial"/>
        </w:rPr>
        <w:br/>
      </w:r>
      <w:r w:rsidR="00CA2FED">
        <w:rPr>
          <w:rFonts w:ascii="Arial" w:hAnsi="Arial" w:cs="Arial"/>
        </w:rPr>
        <w:br/>
      </w:r>
      <w:r w:rsidR="00CA2FED" w:rsidRPr="00F9431D">
        <w:rPr>
          <w:rFonts w:ascii="Arial" w:hAnsi="Arial" w:cs="Arial"/>
          <w:b/>
        </w:rPr>
        <w:br/>
      </w:r>
      <w:r w:rsidR="001952E6" w:rsidRPr="00F9431D">
        <w:rPr>
          <w:rFonts w:ascii="Arial" w:hAnsi="Arial" w:cs="Arial"/>
          <w:b/>
        </w:rPr>
        <w:t xml:space="preserve">Capital Planning Presentation – Decision Lens – Mike </w:t>
      </w:r>
      <w:proofErr w:type="spellStart"/>
      <w:r w:rsidR="001952E6" w:rsidRPr="00F9431D">
        <w:rPr>
          <w:rFonts w:ascii="Arial" w:hAnsi="Arial" w:cs="Arial"/>
          <w:b/>
        </w:rPr>
        <w:t>Jeffreys</w:t>
      </w:r>
      <w:proofErr w:type="spellEnd"/>
      <w:r w:rsidR="00F9431D">
        <w:rPr>
          <w:rFonts w:ascii="Arial" w:hAnsi="Arial" w:cs="Arial"/>
          <w:b/>
        </w:rPr>
        <w:br/>
      </w:r>
      <w:r w:rsidR="00026DF9">
        <w:rPr>
          <w:rFonts w:ascii="Arial" w:hAnsi="Arial" w:cs="Arial"/>
        </w:rPr>
        <w:t>This software is a tool that can be user-specific for each campus/institute and will weight criteria and prioritize needs</w:t>
      </w:r>
      <w:r w:rsidR="00F9431D">
        <w:rPr>
          <w:rFonts w:ascii="Arial" w:hAnsi="Arial" w:cs="Arial"/>
        </w:rPr>
        <w:t>.</w:t>
      </w:r>
      <w:r w:rsidR="00026DF9">
        <w:rPr>
          <w:rFonts w:ascii="Arial" w:hAnsi="Arial" w:cs="Arial"/>
        </w:rPr>
        <w:t xml:space="preserve">  It is a dedicated client decision manager that brings industry expertise to an organization, </w:t>
      </w:r>
      <w:r w:rsidR="00176CA9">
        <w:rPr>
          <w:rFonts w:ascii="Arial" w:hAnsi="Arial" w:cs="Arial"/>
        </w:rPr>
        <w:t xml:space="preserve">drives an efficient planning process </w:t>
      </w:r>
      <w:r w:rsidR="00026DF9">
        <w:rPr>
          <w:rFonts w:ascii="Arial" w:hAnsi="Arial" w:cs="Arial"/>
        </w:rPr>
        <w:t>and</w:t>
      </w:r>
      <w:r w:rsidR="00176CA9">
        <w:rPr>
          <w:rFonts w:ascii="Arial" w:hAnsi="Arial" w:cs="Arial"/>
        </w:rPr>
        <w:t xml:space="preserve"> replaces spreadsheet or verbal-driven planning</w:t>
      </w:r>
      <w:r w:rsidR="00026DF9">
        <w:rPr>
          <w:rFonts w:ascii="Arial" w:hAnsi="Arial" w:cs="Arial"/>
        </w:rPr>
        <w:t xml:space="preserve"> p</w:t>
      </w:r>
      <w:r w:rsidR="00176CA9">
        <w:rPr>
          <w:rFonts w:ascii="Arial" w:hAnsi="Arial" w:cs="Arial"/>
        </w:rPr>
        <w:t>rocess</w:t>
      </w:r>
      <w:r w:rsidR="00026DF9">
        <w:rPr>
          <w:rFonts w:ascii="Arial" w:hAnsi="Arial" w:cs="Arial"/>
        </w:rPr>
        <w:t>es.  It p</w:t>
      </w:r>
      <w:r w:rsidR="00176CA9">
        <w:rPr>
          <w:rFonts w:ascii="Arial" w:hAnsi="Arial" w:cs="Arial"/>
        </w:rPr>
        <w:t>rovides a repeatable, structured process that makes the “why” transparent</w:t>
      </w:r>
      <w:r w:rsidR="00026DF9">
        <w:rPr>
          <w:rFonts w:ascii="Arial" w:hAnsi="Arial" w:cs="Arial"/>
        </w:rPr>
        <w:t xml:space="preserve"> and allows </w:t>
      </w:r>
      <w:r w:rsidR="00176CA9">
        <w:rPr>
          <w:rFonts w:ascii="Arial" w:hAnsi="Arial" w:cs="Arial"/>
        </w:rPr>
        <w:t>modeling of decision</w:t>
      </w:r>
      <w:r w:rsidR="00026DF9">
        <w:rPr>
          <w:rFonts w:ascii="Arial" w:hAnsi="Arial" w:cs="Arial"/>
        </w:rPr>
        <w:t>s</w:t>
      </w:r>
      <w:r w:rsidR="00176CA9">
        <w:rPr>
          <w:rFonts w:ascii="Arial" w:hAnsi="Arial" w:cs="Arial"/>
        </w:rPr>
        <w:t xml:space="preserve"> to address changes in priorities and/or funding.</w:t>
      </w:r>
      <w:r w:rsidR="00026DF9">
        <w:rPr>
          <w:rFonts w:ascii="Arial" w:hAnsi="Arial" w:cs="Arial"/>
        </w:rPr>
        <w:t xml:space="preserve">  The cost is approximately $100,000/year.  The overall c</w:t>
      </w:r>
      <w:r w:rsidR="001F48F7">
        <w:rPr>
          <w:rFonts w:ascii="Arial" w:hAnsi="Arial" w:cs="Arial"/>
        </w:rPr>
        <w:t>on</w:t>
      </w:r>
      <w:r w:rsidR="00026DF9">
        <w:rPr>
          <w:rFonts w:ascii="Arial" w:hAnsi="Arial" w:cs="Arial"/>
        </w:rPr>
        <w:t>sensus was that the software is</w:t>
      </w:r>
      <w:r w:rsidR="001F48F7">
        <w:rPr>
          <w:rFonts w:ascii="Arial" w:hAnsi="Arial" w:cs="Arial"/>
        </w:rPr>
        <w:t xml:space="preserve"> not needed.</w:t>
      </w:r>
      <w:r w:rsidR="0084590C">
        <w:rPr>
          <w:rFonts w:ascii="Arial" w:hAnsi="Arial" w:cs="Arial"/>
        </w:rPr>
        <w:br/>
      </w:r>
    </w:p>
    <w:p w:rsidR="003D1DFA" w:rsidRDefault="00B77ABF" w:rsidP="00F937F5">
      <w:pPr>
        <w:ind w:left="0"/>
        <w:rPr>
          <w:rFonts w:ascii="Arial" w:hAnsi="Arial" w:cs="Arial"/>
        </w:rPr>
      </w:pPr>
      <w:r>
        <w:rPr>
          <w:rFonts w:ascii="Arial" w:hAnsi="Arial" w:cs="Arial"/>
          <w:b/>
        </w:rPr>
        <w:br w:type="page"/>
      </w:r>
      <w:r w:rsidR="00F45C17" w:rsidRPr="001F48F7">
        <w:rPr>
          <w:rFonts w:ascii="Arial" w:hAnsi="Arial" w:cs="Arial"/>
          <w:b/>
        </w:rPr>
        <w:t>Legal Update – Ryan Stinnett</w:t>
      </w:r>
      <w:r w:rsidR="001F48F7">
        <w:rPr>
          <w:rFonts w:ascii="Arial" w:hAnsi="Arial" w:cs="Arial"/>
        </w:rPr>
        <w:br/>
      </w:r>
      <w:r w:rsidR="003D1DFA">
        <w:rPr>
          <w:rFonts w:ascii="Arial" w:hAnsi="Arial" w:cs="Arial"/>
        </w:rPr>
        <w:t>A summary of significant new Tennessee laws affecting business affairs includes:</w:t>
      </w:r>
    </w:p>
    <w:p w:rsidR="003D1DFA" w:rsidRDefault="003D1DFA" w:rsidP="003D1DFA">
      <w:pPr>
        <w:pStyle w:val="ListParagraph"/>
        <w:numPr>
          <w:ilvl w:val="0"/>
          <w:numId w:val="37"/>
        </w:numPr>
        <w:rPr>
          <w:rFonts w:ascii="Arial" w:hAnsi="Arial" w:cs="Arial"/>
        </w:rPr>
      </w:pPr>
      <w:r w:rsidRPr="003D1DFA">
        <w:rPr>
          <w:rFonts w:ascii="Arial" w:hAnsi="Arial" w:cs="Arial"/>
          <w:i/>
        </w:rPr>
        <w:t>Bid Envelopes</w:t>
      </w:r>
      <w:r>
        <w:rPr>
          <w:rFonts w:ascii="Arial" w:hAnsi="Arial" w:cs="Arial"/>
        </w:rPr>
        <w:t xml:space="preserve"> - The revised statute now requires, for all publicly bid state construction projects in the amount of $25,000 or higher, that the outside of the bid envelope or electronic bid submission must include the name, license number, expiration date thereof, and license classification of the following proposed subcontractors applying to bid for a prime contract:  masonry, electrical; plumbing; heating; ventilation and air conditioning; and geothermal heating and cooling.</w:t>
      </w:r>
    </w:p>
    <w:p w:rsidR="003D1DFA" w:rsidRDefault="003D1DFA" w:rsidP="003D1DFA">
      <w:pPr>
        <w:pStyle w:val="ListParagraph"/>
        <w:numPr>
          <w:ilvl w:val="0"/>
          <w:numId w:val="37"/>
        </w:numPr>
        <w:rPr>
          <w:rFonts w:ascii="Arial" w:hAnsi="Arial" w:cs="Arial"/>
        </w:rPr>
      </w:pPr>
      <w:r>
        <w:rPr>
          <w:rFonts w:ascii="Arial" w:hAnsi="Arial" w:cs="Arial"/>
        </w:rPr>
        <w:t>“</w:t>
      </w:r>
      <w:r w:rsidRPr="003D1DFA">
        <w:rPr>
          <w:rFonts w:ascii="Arial" w:hAnsi="Arial" w:cs="Arial"/>
          <w:i/>
        </w:rPr>
        <w:t>Freedom in Contracting Act”</w:t>
      </w:r>
      <w:r>
        <w:rPr>
          <w:rFonts w:ascii="Arial" w:hAnsi="Arial" w:cs="Arial"/>
        </w:rPr>
        <w:t xml:space="preserve"> – This “anti-union law” enacts the “Freedom in Contracting Act,” which provides that State agencies, including the University, are prohibited from imposing certain labor and wage requirements as a condition of performing public works that are state funding in part or in whole.</w:t>
      </w:r>
    </w:p>
    <w:p w:rsidR="003D1DFA" w:rsidRDefault="003D1DFA" w:rsidP="003D1DFA">
      <w:pPr>
        <w:pStyle w:val="ListParagraph"/>
        <w:numPr>
          <w:ilvl w:val="0"/>
          <w:numId w:val="37"/>
        </w:numPr>
        <w:rPr>
          <w:rFonts w:ascii="Arial" w:hAnsi="Arial" w:cs="Arial"/>
        </w:rPr>
      </w:pPr>
      <w:r>
        <w:rPr>
          <w:rFonts w:ascii="Arial" w:hAnsi="Arial" w:cs="Arial"/>
          <w:i/>
        </w:rPr>
        <w:t>Addenda and Questions Prior to Bid Opening Date</w:t>
      </w:r>
      <w:r>
        <w:rPr>
          <w:rFonts w:ascii="Arial" w:hAnsi="Arial" w:cs="Arial"/>
        </w:rPr>
        <w:t xml:space="preserve"> – The statute specifies that if a statute, ordinance, resolution, rule, or regulation mandates the use of competitive bidding of any kind or nature whatsoever, by any state agency, county, or municipal corporation, then no </w:t>
      </w:r>
      <w:r>
        <w:rPr>
          <w:rFonts w:ascii="Arial" w:hAnsi="Arial" w:cs="Arial"/>
          <w:i/>
        </w:rPr>
        <w:t>addenda</w:t>
      </w:r>
      <w:r>
        <w:rPr>
          <w:rFonts w:ascii="Arial" w:hAnsi="Arial" w:cs="Arial"/>
        </w:rPr>
        <w:t xml:space="preserve"> are permitted </w:t>
      </w:r>
      <w:r>
        <w:rPr>
          <w:rFonts w:ascii="Arial" w:hAnsi="Arial" w:cs="Arial"/>
          <w:i/>
        </w:rPr>
        <w:t>within less than 48 hours of the bid opening date.</w:t>
      </w:r>
      <w:r>
        <w:rPr>
          <w:rFonts w:ascii="Arial" w:hAnsi="Arial" w:cs="Arial"/>
        </w:rPr>
        <w:t xml:space="preserve">  Also, any questions concerning the bid documents must be received by the designer </w:t>
      </w:r>
      <w:r>
        <w:rPr>
          <w:rFonts w:ascii="Arial" w:hAnsi="Arial" w:cs="Arial"/>
          <w:i/>
        </w:rPr>
        <w:t>no less than 96 hours before the bid opening date</w:t>
      </w:r>
      <w:r>
        <w:rPr>
          <w:rFonts w:ascii="Arial" w:hAnsi="Arial" w:cs="Arial"/>
        </w:rPr>
        <w:t>.</w:t>
      </w:r>
    </w:p>
    <w:p w:rsidR="00F67B70" w:rsidRDefault="00F67B70" w:rsidP="003D1DFA">
      <w:pPr>
        <w:pStyle w:val="ListParagraph"/>
        <w:numPr>
          <w:ilvl w:val="0"/>
          <w:numId w:val="37"/>
        </w:numPr>
        <w:rPr>
          <w:rFonts w:ascii="Arial" w:hAnsi="Arial" w:cs="Arial"/>
        </w:rPr>
      </w:pPr>
      <w:r>
        <w:rPr>
          <w:rFonts w:ascii="Arial" w:hAnsi="Arial" w:cs="Arial"/>
          <w:i/>
        </w:rPr>
        <w:t>ADA Standard for Accessible Design</w:t>
      </w:r>
      <w:r>
        <w:rPr>
          <w:rFonts w:ascii="Arial" w:hAnsi="Arial" w:cs="Arial"/>
        </w:rPr>
        <w:t xml:space="preserve"> – This law revises the existing statute to adopt the </w:t>
      </w:r>
      <w:r w:rsidRPr="00F67B70">
        <w:rPr>
          <w:rFonts w:ascii="Arial" w:hAnsi="Arial" w:cs="Arial"/>
          <w:i/>
        </w:rPr>
        <w:t>2010 ADA Standards for Accessible Design</w:t>
      </w:r>
      <w:r>
        <w:rPr>
          <w:rFonts w:ascii="Arial" w:hAnsi="Arial" w:cs="Arial"/>
        </w:rPr>
        <w:t xml:space="preserve"> as the standards to be followed to make a building accessible to those with physical disabilities when constructing or altering a public building.</w:t>
      </w:r>
    </w:p>
    <w:p w:rsidR="00F67B70" w:rsidRDefault="00F67B70" w:rsidP="003D1DFA">
      <w:pPr>
        <w:pStyle w:val="ListParagraph"/>
        <w:numPr>
          <w:ilvl w:val="0"/>
          <w:numId w:val="37"/>
        </w:numPr>
        <w:rPr>
          <w:rFonts w:ascii="Arial" w:hAnsi="Arial" w:cs="Arial"/>
        </w:rPr>
      </w:pPr>
      <w:r>
        <w:rPr>
          <w:rFonts w:ascii="Arial" w:hAnsi="Arial" w:cs="Arial"/>
          <w:i/>
        </w:rPr>
        <w:t>Leases Requiring State Approvals</w:t>
      </w:r>
      <w:r>
        <w:rPr>
          <w:rFonts w:ascii="Arial" w:hAnsi="Arial" w:cs="Arial"/>
        </w:rPr>
        <w:t xml:space="preserve"> – The amendment </w:t>
      </w:r>
      <w:r>
        <w:rPr>
          <w:rFonts w:ascii="Arial" w:hAnsi="Arial" w:cs="Arial"/>
          <w:i/>
        </w:rPr>
        <w:t>increases from $75,000 to $100,000</w:t>
      </w:r>
      <w:r>
        <w:rPr>
          <w:rFonts w:ascii="Arial" w:hAnsi="Arial" w:cs="Arial"/>
        </w:rPr>
        <w:t xml:space="preserve"> the dollar amount of leases that require approval by the Tennessee Attorney General and State Building Commission.  It also requires the State Architect to post certain information on the State Architect’s web site with regard to any proposed lease of property by or to the State not submitted to and approved by the State Building Commission.</w:t>
      </w:r>
    </w:p>
    <w:p w:rsidR="00696C1E" w:rsidRDefault="00F67B70" w:rsidP="003D1DFA">
      <w:pPr>
        <w:pStyle w:val="ListParagraph"/>
        <w:numPr>
          <w:ilvl w:val="0"/>
          <w:numId w:val="37"/>
        </w:numPr>
        <w:rPr>
          <w:rFonts w:ascii="Arial" w:hAnsi="Arial" w:cs="Arial"/>
        </w:rPr>
      </w:pPr>
      <w:r>
        <w:rPr>
          <w:rFonts w:ascii="Arial" w:hAnsi="Arial" w:cs="Arial"/>
          <w:i/>
        </w:rPr>
        <w:t>Retainage</w:t>
      </w:r>
      <w:r>
        <w:rPr>
          <w:rFonts w:ascii="Arial" w:hAnsi="Arial" w:cs="Arial"/>
        </w:rPr>
        <w:t xml:space="preserve"> – This amendment adds a provision to part of the “Prompt Pay Act of 1991,” regarding the withholding of retainage.  Specifically, the party with the responsibility for depositing the retained amount in a separate, interest-bearing account with a third-party now has the </w:t>
      </w:r>
      <w:r>
        <w:rPr>
          <w:rFonts w:ascii="Arial" w:hAnsi="Arial" w:cs="Arial"/>
          <w:i/>
        </w:rPr>
        <w:t>affirmative duty to provide written notice</w:t>
      </w:r>
      <w:r>
        <w:rPr>
          <w:rFonts w:ascii="Arial" w:hAnsi="Arial" w:cs="Arial"/>
        </w:rPr>
        <w:t xml:space="preserve"> that it has complied with the requirements of the Prompt Pay Act to any prime contractor upon withholding the amount of retained funds from </w:t>
      </w:r>
      <w:r w:rsidR="00696C1E">
        <w:rPr>
          <w:rFonts w:ascii="Arial" w:hAnsi="Arial" w:cs="Arial"/>
        </w:rPr>
        <w:t>each and every application for payment.</w:t>
      </w:r>
    </w:p>
    <w:p w:rsidR="00696C1E" w:rsidRDefault="00696C1E" w:rsidP="003D1DFA">
      <w:pPr>
        <w:pStyle w:val="ListParagraph"/>
        <w:numPr>
          <w:ilvl w:val="0"/>
          <w:numId w:val="37"/>
        </w:numPr>
        <w:rPr>
          <w:rFonts w:ascii="Arial" w:hAnsi="Arial" w:cs="Arial"/>
        </w:rPr>
      </w:pPr>
      <w:r>
        <w:rPr>
          <w:rFonts w:ascii="Arial" w:hAnsi="Arial" w:cs="Arial"/>
          <w:i/>
        </w:rPr>
        <w:t>Delegated Purchasing Authority</w:t>
      </w:r>
      <w:r>
        <w:rPr>
          <w:rFonts w:ascii="Arial" w:hAnsi="Arial" w:cs="Arial"/>
        </w:rPr>
        <w:t xml:space="preserve"> – This law </w:t>
      </w:r>
      <w:r>
        <w:rPr>
          <w:rFonts w:ascii="Arial" w:hAnsi="Arial" w:cs="Arial"/>
          <w:i/>
        </w:rPr>
        <w:t xml:space="preserve">increases from $25,000 to $50,000 </w:t>
      </w:r>
      <w:r>
        <w:rPr>
          <w:rFonts w:ascii="Arial" w:hAnsi="Arial" w:cs="Arial"/>
        </w:rPr>
        <w:t>the delegated purchasing authority for goods and personal services that may be procured without requisitioning through the Department of General Services.  Both UT and TBR have been asked to delay this act until municipal governments are able to do the same.</w:t>
      </w:r>
    </w:p>
    <w:p w:rsidR="00696C1E" w:rsidRDefault="00696C1E" w:rsidP="003D1DFA">
      <w:pPr>
        <w:pStyle w:val="ListParagraph"/>
        <w:numPr>
          <w:ilvl w:val="0"/>
          <w:numId w:val="37"/>
        </w:numPr>
        <w:rPr>
          <w:rFonts w:ascii="Arial" w:hAnsi="Arial" w:cs="Arial"/>
        </w:rPr>
      </w:pPr>
      <w:r>
        <w:rPr>
          <w:rFonts w:ascii="Arial" w:hAnsi="Arial" w:cs="Arial"/>
          <w:i/>
        </w:rPr>
        <w:t>Purchase of Surplus Property</w:t>
      </w:r>
      <w:r>
        <w:rPr>
          <w:rFonts w:ascii="Arial" w:hAnsi="Arial" w:cs="Arial"/>
        </w:rPr>
        <w:t xml:space="preserve"> – This statute amends the State Surplus Personal Property Act of 1976 to permit payment by </w:t>
      </w:r>
      <w:r>
        <w:rPr>
          <w:rFonts w:ascii="Arial" w:hAnsi="Arial" w:cs="Arial"/>
          <w:i/>
        </w:rPr>
        <w:t>credit card</w:t>
      </w:r>
      <w:r>
        <w:rPr>
          <w:rFonts w:ascii="Arial" w:hAnsi="Arial" w:cs="Arial"/>
        </w:rPr>
        <w:t xml:space="preserve"> for the purchase of state surplus personal property.</w:t>
      </w:r>
    </w:p>
    <w:p w:rsidR="00696C1E" w:rsidRDefault="00696C1E" w:rsidP="003D1DFA">
      <w:pPr>
        <w:pStyle w:val="ListParagraph"/>
        <w:numPr>
          <w:ilvl w:val="0"/>
          <w:numId w:val="37"/>
        </w:numPr>
        <w:rPr>
          <w:rFonts w:ascii="Arial" w:hAnsi="Arial" w:cs="Arial"/>
        </w:rPr>
      </w:pPr>
      <w:r>
        <w:rPr>
          <w:rFonts w:ascii="Arial" w:hAnsi="Arial" w:cs="Arial"/>
          <w:i/>
        </w:rPr>
        <w:t>Fiscal Review Committee</w:t>
      </w:r>
      <w:r>
        <w:rPr>
          <w:rFonts w:ascii="Arial" w:hAnsi="Arial" w:cs="Arial"/>
        </w:rPr>
        <w:t xml:space="preserve"> – This amendment extends the period of time the Fiscal Review Committee has to comment on proposed non-competitive contracts from 20 to 40 days.</w:t>
      </w:r>
    </w:p>
    <w:p w:rsidR="00696C1E" w:rsidRDefault="00696C1E" w:rsidP="003D1DFA">
      <w:pPr>
        <w:pStyle w:val="ListParagraph"/>
        <w:numPr>
          <w:ilvl w:val="0"/>
          <w:numId w:val="37"/>
        </w:numPr>
        <w:rPr>
          <w:rFonts w:ascii="Arial" w:hAnsi="Arial" w:cs="Arial"/>
        </w:rPr>
      </w:pPr>
      <w:r>
        <w:rPr>
          <w:rFonts w:ascii="Arial" w:hAnsi="Arial" w:cs="Arial"/>
          <w:i/>
        </w:rPr>
        <w:t xml:space="preserve">Development Rights </w:t>
      </w:r>
      <w:r>
        <w:rPr>
          <w:rFonts w:ascii="Arial" w:hAnsi="Arial" w:cs="Arial"/>
        </w:rPr>
        <w:t>– This statute authorizes the State to purchase, preserve, and sell development rights in real property.</w:t>
      </w:r>
    </w:p>
    <w:p w:rsidR="00437660" w:rsidRDefault="00696C1E" w:rsidP="00437660">
      <w:pPr>
        <w:pStyle w:val="ListParagraph"/>
        <w:numPr>
          <w:ilvl w:val="0"/>
          <w:numId w:val="37"/>
        </w:numPr>
        <w:rPr>
          <w:rFonts w:ascii="Arial" w:hAnsi="Arial" w:cs="Arial"/>
        </w:rPr>
      </w:pPr>
      <w:r>
        <w:rPr>
          <w:rFonts w:ascii="Arial" w:hAnsi="Arial" w:cs="Arial"/>
          <w:i/>
        </w:rPr>
        <w:t xml:space="preserve">Blind Vendors </w:t>
      </w:r>
      <w:r>
        <w:rPr>
          <w:rFonts w:ascii="Arial" w:hAnsi="Arial" w:cs="Arial"/>
        </w:rPr>
        <w:t xml:space="preserve">– This statute provides that nothing in present law regarding vocational services for the </w:t>
      </w:r>
      <w:r>
        <w:rPr>
          <w:rFonts w:ascii="Arial" w:hAnsi="Arial" w:cs="Arial"/>
          <w:i/>
        </w:rPr>
        <w:t>blind/blind vendors</w:t>
      </w:r>
      <w:r>
        <w:rPr>
          <w:rFonts w:ascii="Arial" w:hAnsi="Arial" w:cs="Arial"/>
        </w:rPr>
        <w:t xml:space="preserve"> will limit the ability of an institution that is governed by UT or the state university and college system to contract for food services in new buildings or on new campuses provided that a site suitable to the institution is also made available for a blind vendor to manage and operate automated vending machines and/or counter service as jointly agreed upon by the institution and the department</w:t>
      </w:r>
      <w:r w:rsidR="00437660">
        <w:rPr>
          <w:rFonts w:ascii="Arial" w:hAnsi="Arial" w:cs="Arial"/>
        </w:rPr>
        <w:t xml:space="preserve"> in the new building or on the new campus. There is no change in UT’s recognition of this law.</w:t>
      </w:r>
    </w:p>
    <w:p w:rsidR="001F48F7" w:rsidRPr="00437660" w:rsidRDefault="00437660" w:rsidP="00437660">
      <w:pPr>
        <w:pStyle w:val="ListParagraph"/>
        <w:rPr>
          <w:rFonts w:ascii="Arial" w:hAnsi="Arial" w:cs="Arial"/>
        </w:rPr>
      </w:pPr>
      <w:r>
        <w:rPr>
          <w:rFonts w:ascii="Arial" w:hAnsi="Arial" w:cs="Arial"/>
        </w:rPr>
        <w:br/>
      </w:r>
      <w:r w:rsidR="00504A0B">
        <w:rPr>
          <w:rFonts w:ascii="Arial" w:hAnsi="Arial" w:cs="Arial"/>
          <w:b/>
        </w:rPr>
        <w:br/>
      </w:r>
      <w:r w:rsidR="008A3746" w:rsidRPr="00437660">
        <w:rPr>
          <w:rFonts w:ascii="Arial" w:hAnsi="Arial" w:cs="Arial"/>
          <w:b/>
        </w:rPr>
        <w:t>Contract Policy – Mark Paganelli</w:t>
      </w:r>
      <w:r w:rsidR="00227A01" w:rsidRPr="00437660">
        <w:rPr>
          <w:rFonts w:ascii="Arial" w:hAnsi="Arial" w:cs="Arial"/>
        </w:rPr>
        <w:br/>
      </w:r>
      <w:r w:rsidRPr="000D2948">
        <w:rPr>
          <w:rFonts w:ascii="Arial" w:hAnsi="Arial" w:cs="Arial"/>
          <w:highlight w:val="yellow"/>
        </w:rPr>
        <w:t xml:space="preserve">Delegated contracts totaling </w:t>
      </w:r>
      <w:r w:rsidR="001F48F7" w:rsidRPr="000D2948">
        <w:rPr>
          <w:rFonts w:ascii="Arial" w:hAnsi="Arial" w:cs="Arial"/>
          <w:highlight w:val="yellow"/>
        </w:rPr>
        <w:t>$</w:t>
      </w:r>
      <w:r w:rsidR="001F48F7" w:rsidRPr="00437660">
        <w:rPr>
          <w:rFonts w:ascii="Arial" w:hAnsi="Arial" w:cs="Arial"/>
        </w:rPr>
        <w:t>100,000</w:t>
      </w:r>
      <w:r>
        <w:rPr>
          <w:rFonts w:ascii="Arial" w:hAnsi="Arial" w:cs="Arial"/>
        </w:rPr>
        <w:t xml:space="preserve"> or more are now to be submitted to the Treasurer’s Office.  It was decided to change the </w:t>
      </w:r>
      <w:r w:rsidR="00E227EF" w:rsidRPr="00437660">
        <w:rPr>
          <w:rFonts w:ascii="Arial" w:hAnsi="Arial" w:cs="Arial"/>
        </w:rPr>
        <w:t xml:space="preserve">approver to </w:t>
      </w:r>
      <w:r>
        <w:rPr>
          <w:rFonts w:ascii="Arial" w:hAnsi="Arial" w:cs="Arial"/>
        </w:rPr>
        <w:t>“</w:t>
      </w:r>
      <w:r w:rsidR="00E227EF" w:rsidRPr="00437660">
        <w:rPr>
          <w:rFonts w:ascii="Arial" w:hAnsi="Arial" w:cs="Arial"/>
        </w:rPr>
        <w:t xml:space="preserve">Vice Chancellor for Research or </w:t>
      </w:r>
      <w:r w:rsidR="00E227EF" w:rsidRPr="00437660">
        <w:rPr>
          <w:rFonts w:ascii="Arial" w:hAnsi="Arial" w:cs="Arial"/>
          <w:i/>
        </w:rPr>
        <w:t>designee</w:t>
      </w:r>
      <w:r w:rsidR="00E227EF" w:rsidRPr="00437660">
        <w:rPr>
          <w:rFonts w:ascii="Arial" w:hAnsi="Arial" w:cs="Arial"/>
        </w:rPr>
        <w:t>.</w:t>
      </w:r>
      <w:r>
        <w:rPr>
          <w:rFonts w:ascii="Arial" w:hAnsi="Arial" w:cs="Arial"/>
        </w:rPr>
        <w:t>”</w:t>
      </w:r>
      <w:r w:rsidR="00E227EF" w:rsidRPr="00437660">
        <w:rPr>
          <w:rFonts w:ascii="Arial" w:hAnsi="Arial" w:cs="Arial"/>
        </w:rPr>
        <w:t xml:space="preserve"> It was suggested that an exception list </w:t>
      </w:r>
      <w:r w:rsidR="00E42511">
        <w:rPr>
          <w:rFonts w:ascii="Arial" w:hAnsi="Arial" w:cs="Arial"/>
        </w:rPr>
        <w:t xml:space="preserve">of contracts </w:t>
      </w:r>
      <w:r w:rsidR="00E227EF" w:rsidRPr="00437660">
        <w:rPr>
          <w:rFonts w:ascii="Arial" w:hAnsi="Arial" w:cs="Arial"/>
        </w:rPr>
        <w:t>be established (i.e., concerts).</w:t>
      </w:r>
    </w:p>
    <w:p w:rsidR="00810B20" w:rsidRDefault="00853F3E" w:rsidP="00F9431D">
      <w:pPr>
        <w:rPr>
          <w:rFonts w:ascii="Arial" w:hAnsi="Arial" w:cs="Arial"/>
          <w:b/>
        </w:rPr>
      </w:pPr>
      <w:r>
        <w:rPr>
          <w:rFonts w:ascii="Arial" w:hAnsi="Arial" w:cs="Arial"/>
        </w:rPr>
        <w:br/>
      </w:r>
      <w:r w:rsidR="00504A0B">
        <w:rPr>
          <w:rFonts w:ascii="Arial" w:hAnsi="Arial" w:cs="Arial"/>
          <w:b/>
        </w:rPr>
        <w:br/>
      </w:r>
      <w:r w:rsidR="00810B20">
        <w:rPr>
          <w:rFonts w:ascii="Arial" w:hAnsi="Arial" w:cs="Arial"/>
          <w:b/>
        </w:rPr>
        <w:t xml:space="preserve">Click-Wraps, Click </w:t>
      </w:r>
      <w:proofErr w:type="spellStart"/>
      <w:r w:rsidR="00810B20">
        <w:rPr>
          <w:rFonts w:ascii="Arial" w:hAnsi="Arial" w:cs="Arial"/>
          <w:b/>
        </w:rPr>
        <w:t>Throughs</w:t>
      </w:r>
      <w:proofErr w:type="spellEnd"/>
      <w:r w:rsidR="00810B20">
        <w:rPr>
          <w:rFonts w:ascii="Arial" w:hAnsi="Arial" w:cs="Arial"/>
          <w:b/>
        </w:rPr>
        <w:t>, and Automatic Update Agreements – Mark Paganelli</w:t>
      </w:r>
    </w:p>
    <w:p w:rsidR="00D4188B" w:rsidRDefault="00810B20" w:rsidP="00F9431D">
      <w:pPr>
        <w:rPr>
          <w:rFonts w:ascii="Arial" w:hAnsi="Arial" w:cs="Arial"/>
        </w:rPr>
      </w:pPr>
      <w:r>
        <w:rPr>
          <w:rFonts w:ascii="Arial" w:hAnsi="Arial" w:cs="Arial"/>
        </w:rPr>
        <w:t xml:space="preserve">A memorandum agreement has been drafted.  </w:t>
      </w:r>
      <w:r w:rsidR="000F7151">
        <w:rPr>
          <w:rFonts w:ascii="Arial" w:hAnsi="Arial" w:cs="Arial"/>
        </w:rPr>
        <w:t>To the extent possi</w:t>
      </w:r>
      <w:r w:rsidR="00504A0B">
        <w:rPr>
          <w:rFonts w:ascii="Arial" w:hAnsi="Arial" w:cs="Arial"/>
        </w:rPr>
        <w:t xml:space="preserve">ble, this paper policy will supersede </w:t>
      </w:r>
      <w:r>
        <w:rPr>
          <w:rFonts w:ascii="Arial" w:hAnsi="Arial" w:cs="Arial"/>
        </w:rPr>
        <w:t>an</w:t>
      </w:r>
      <w:r w:rsidR="000F7151">
        <w:rPr>
          <w:rFonts w:ascii="Arial" w:hAnsi="Arial" w:cs="Arial"/>
        </w:rPr>
        <w:t xml:space="preserve"> online agreement. Some schools have been</w:t>
      </w:r>
      <w:r>
        <w:rPr>
          <w:rFonts w:ascii="Arial" w:hAnsi="Arial" w:cs="Arial"/>
        </w:rPr>
        <w:t xml:space="preserve"> successful in negotiating agreements like these.  A p</w:t>
      </w:r>
      <w:r w:rsidR="000F7151">
        <w:rPr>
          <w:rFonts w:ascii="Arial" w:hAnsi="Arial" w:cs="Arial"/>
        </w:rPr>
        <w:t xml:space="preserve">rocess is being proposed for contracts </w:t>
      </w:r>
      <w:r>
        <w:rPr>
          <w:rFonts w:ascii="Arial" w:hAnsi="Arial" w:cs="Arial"/>
        </w:rPr>
        <w:t>with</w:t>
      </w:r>
      <w:r w:rsidR="000F7151">
        <w:rPr>
          <w:rFonts w:ascii="Arial" w:hAnsi="Arial" w:cs="Arial"/>
        </w:rPr>
        <w:t xml:space="preserve"> companies that will not agree to</w:t>
      </w:r>
      <w:r>
        <w:rPr>
          <w:rFonts w:ascii="Arial" w:hAnsi="Arial" w:cs="Arial"/>
        </w:rPr>
        <w:t xml:space="preserve"> our</w:t>
      </w:r>
      <w:r w:rsidR="000F7151">
        <w:rPr>
          <w:rFonts w:ascii="Arial" w:hAnsi="Arial" w:cs="Arial"/>
        </w:rPr>
        <w:t xml:space="preserve"> terms.</w:t>
      </w:r>
      <w:r w:rsidR="00EE3D75">
        <w:rPr>
          <w:rFonts w:ascii="Arial" w:hAnsi="Arial" w:cs="Arial"/>
        </w:rPr>
        <w:t xml:space="preserve">  Since the trend is for more online contracts (instead of paper), the University is trying to be proactive.</w:t>
      </w:r>
      <w:r w:rsidR="00504A0B">
        <w:rPr>
          <w:rFonts w:ascii="Arial" w:hAnsi="Arial" w:cs="Arial"/>
        </w:rPr>
        <w:br/>
      </w:r>
      <w:r w:rsidR="00504A0B">
        <w:rPr>
          <w:rFonts w:ascii="Arial" w:hAnsi="Arial" w:cs="Arial"/>
        </w:rPr>
        <w:br/>
      </w:r>
      <w:r w:rsidR="001F48F7">
        <w:rPr>
          <w:rFonts w:ascii="Arial" w:hAnsi="Arial" w:cs="Arial"/>
        </w:rPr>
        <w:br/>
      </w:r>
      <w:r w:rsidR="009C429A" w:rsidRPr="001F48F7">
        <w:rPr>
          <w:rFonts w:ascii="Arial" w:hAnsi="Arial" w:cs="Arial"/>
          <w:b/>
        </w:rPr>
        <w:t xml:space="preserve">Miscellaneous </w:t>
      </w:r>
      <w:r w:rsidR="009D08E1" w:rsidRPr="001F48F7">
        <w:rPr>
          <w:rFonts w:ascii="Arial" w:hAnsi="Arial" w:cs="Arial"/>
          <w:b/>
        </w:rPr>
        <w:t>R</w:t>
      </w:r>
      <w:r w:rsidR="009C429A" w:rsidRPr="001F48F7">
        <w:rPr>
          <w:rFonts w:ascii="Arial" w:hAnsi="Arial" w:cs="Arial"/>
          <w:b/>
        </w:rPr>
        <w:t>eimbursement - Mark Paganelli</w:t>
      </w:r>
      <w:r w:rsidR="00227A01">
        <w:rPr>
          <w:rFonts w:ascii="Arial" w:hAnsi="Arial" w:cs="Arial"/>
        </w:rPr>
        <w:br/>
      </w:r>
      <w:r>
        <w:rPr>
          <w:rFonts w:ascii="Arial" w:hAnsi="Arial" w:cs="Arial"/>
        </w:rPr>
        <w:t xml:space="preserve">There are several departments piloting this process.  This transaction is similar to an invoice and will </w:t>
      </w:r>
      <w:r w:rsidR="00D4188B">
        <w:rPr>
          <w:rFonts w:ascii="Arial" w:hAnsi="Arial" w:cs="Arial"/>
        </w:rPr>
        <w:t xml:space="preserve">replace </w:t>
      </w:r>
      <w:r w:rsidR="00997A83">
        <w:rPr>
          <w:rFonts w:ascii="Arial" w:hAnsi="Arial" w:cs="Arial"/>
        </w:rPr>
        <w:t xml:space="preserve">paper </w:t>
      </w:r>
      <w:r w:rsidR="00D4188B">
        <w:rPr>
          <w:rFonts w:ascii="Arial" w:hAnsi="Arial" w:cs="Arial"/>
        </w:rPr>
        <w:t>petty cash</w:t>
      </w:r>
      <w:r w:rsidR="00997A83">
        <w:rPr>
          <w:rFonts w:ascii="Arial" w:hAnsi="Arial" w:cs="Arial"/>
        </w:rPr>
        <w:t xml:space="preserve"> reimbursement</w:t>
      </w:r>
      <w:r>
        <w:rPr>
          <w:rFonts w:ascii="Arial" w:hAnsi="Arial" w:cs="Arial"/>
        </w:rPr>
        <w:t xml:space="preserve">.  An individual </w:t>
      </w:r>
      <w:r w:rsidR="00D4188B">
        <w:rPr>
          <w:rFonts w:ascii="Arial" w:hAnsi="Arial" w:cs="Arial"/>
        </w:rPr>
        <w:t>will enter</w:t>
      </w:r>
      <w:r>
        <w:rPr>
          <w:rFonts w:ascii="Arial" w:hAnsi="Arial" w:cs="Arial"/>
        </w:rPr>
        <w:t xml:space="preserve"> all</w:t>
      </w:r>
      <w:r w:rsidR="00D4188B">
        <w:rPr>
          <w:rFonts w:ascii="Arial" w:hAnsi="Arial" w:cs="Arial"/>
        </w:rPr>
        <w:t xml:space="preserve"> receipts</w:t>
      </w:r>
      <w:r>
        <w:rPr>
          <w:rFonts w:ascii="Arial" w:hAnsi="Arial" w:cs="Arial"/>
        </w:rPr>
        <w:t xml:space="preserve"> and if the total </w:t>
      </w:r>
      <w:r w:rsidR="00D4188B">
        <w:rPr>
          <w:rFonts w:ascii="Arial" w:hAnsi="Arial" w:cs="Arial"/>
        </w:rPr>
        <w:t>exceeds $499.99, the document is</w:t>
      </w:r>
      <w:r>
        <w:rPr>
          <w:rFonts w:ascii="Arial" w:hAnsi="Arial" w:cs="Arial"/>
        </w:rPr>
        <w:t xml:space="preserve"> routed through IRIS for </w:t>
      </w:r>
      <w:r w:rsidR="00D4188B">
        <w:rPr>
          <w:rFonts w:ascii="Arial" w:hAnsi="Arial" w:cs="Arial"/>
        </w:rPr>
        <w:t>CBO approval. We can either leave as is or route only if one item is $499.99 or more.</w:t>
      </w:r>
    </w:p>
    <w:p w:rsidR="001F48F7" w:rsidRDefault="00D4188B" w:rsidP="00F9431D">
      <w:pPr>
        <w:rPr>
          <w:rFonts w:ascii="Arial" w:hAnsi="Arial" w:cs="Arial"/>
        </w:rPr>
      </w:pPr>
      <w:r>
        <w:rPr>
          <w:rFonts w:ascii="Arial" w:hAnsi="Arial" w:cs="Arial"/>
        </w:rPr>
        <w:t xml:space="preserve"> </w:t>
      </w:r>
    </w:p>
    <w:p w:rsidR="00F25C38" w:rsidRDefault="00504A0B" w:rsidP="00177661">
      <w:pPr>
        <w:rPr>
          <w:rFonts w:ascii="Arial" w:hAnsi="Arial" w:cs="Arial"/>
        </w:rPr>
      </w:pPr>
      <w:r>
        <w:rPr>
          <w:rFonts w:ascii="Arial" w:hAnsi="Arial" w:cs="Arial"/>
          <w:b/>
        </w:rPr>
        <w:br/>
      </w:r>
      <w:r w:rsidR="009C429A" w:rsidRPr="00D4188B">
        <w:rPr>
          <w:rFonts w:ascii="Arial" w:hAnsi="Arial" w:cs="Arial"/>
          <w:b/>
        </w:rPr>
        <w:t>E-</w:t>
      </w:r>
      <w:r w:rsidR="009D08E1" w:rsidRPr="00D4188B">
        <w:rPr>
          <w:rFonts w:ascii="Arial" w:hAnsi="Arial" w:cs="Arial"/>
          <w:b/>
        </w:rPr>
        <w:t>P</w:t>
      </w:r>
      <w:r w:rsidR="009C429A" w:rsidRPr="00D4188B">
        <w:rPr>
          <w:rFonts w:ascii="Arial" w:hAnsi="Arial" w:cs="Arial"/>
          <w:b/>
        </w:rPr>
        <w:t xml:space="preserve">ayables </w:t>
      </w:r>
      <w:r w:rsidR="009D08E1" w:rsidRPr="00D4188B">
        <w:rPr>
          <w:rFonts w:ascii="Arial" w:hAnsi="Arial" w:cs="Arial"/>
          <w:b/>
        </w:rPr>
        <w:t>U</w:t>
      </w:r>
      <w:r w:rsidR="009C429A" w:rsidRPr="00D4188B">
        <w:rPr>
          <w:rFonts w:ascii="Arial" w:hAnsi="Arial" w:cs="Arial"/>
          <w:b/>
        </w:rPr>
        <w:t>pdate- Mark Paganelli</w:t>
      </w:r>
      <w:r w:rsidR="00227A01">
        <w:rPr>
          <w:rFonts w:ascii="Arial" w:hAnsi="Arial" w:cs="Arial"/>
        </w:rPr>
        <w:br/>
      </w:r>
      <w:r w:rsidR="00A750A4">
        <w:rPr>
          <w:rFonts w:ascii="Arial" w:hAnsi="Arial" w:cs="Arial"/>
        </w:rPr>
        <w:t xml:space="preserve">The process is going great.  Just this week we had two vendors </w:t>
      </w:r>
      <w:r w:rsidR="00D4188B">
        <w:rPr>
          <w:rFonts w:ascii="Arial" w:hAnsi="Arial" w:cs="Arial"/>
        </w:rPr>
        <w:t xml:space="preserve">processed through e-payables.  One concern is that Purchasing </w:t>
      </w:r>
      <w:r w:rsidR="00A750A4">
        <w:rPr>
          <w:rFonts w:ascii="Arial" w:hAnsi="Arial" w:cs="Arial"/>
        </w:rPr>
        <w:t>and/o</w:t>
      </w:r>
      <w:r w:rsidR="00D4188B">
        <w:rPr>
          <w:rFonts w:ascii="Arial" w:hAnsi="Arial" w:cs="Arial"/>
        </w:rPr>
        <w:t xml:space="preserve">r departments </w:t>
      </w:r>
      <w:r w:rsidR="00A750A4">
        <w:rPr>
          <w:rFonts w:ascii="Arial" w:hAnsi="Arial" w:cs="Arial"/>
        </w:rPr>
        <w:t xml:space="preserve">should not </w:t>
      </w:r>
      <w:r w:rsidR="00D4188B">
        <w:rPr>
          <w:rFonts w:ascii="Arial" w:hAnsi="Arial" w:cs="Arial"/>
        </w:rPr>
        <w:t xml:space="preserve">change </w:t>
      </w:r>
      <w:r w:rsidR="00A750A4">
        <w:rPr>
          <w:rFonts w:ascii="Arial" w:hAnsi="Arial" w:cs="Arial"/>
        </w:rPr>
        <w:t xml:space="preserve">the </w:t>
      </w:r>
      <w:r w:rsidR="00222185">
        <w:rPr>
          <w:rFonts w:ascii="Arial" w:hAnsi="Arial" w:cs="Arial"/>
        </w:rPr>
        <w:t xml:space="preserve">payment terms </w:t>
      </w:r>
      <w:r w:rsidR="00D4188B">
        <w:rPr>
          <w:rFonts w:ascii="Arial" w:hAnsi="Arial" w:cs="Arial"/>
        </w:rPr>
        <w:t>(</w:t>
      </w:r>
      <w:r w:rsidR="00222185">
        <w:rPr>
          <w:rFonts w:ascii="Arial" w:hAnsi="Arial" w:cs="Arial"/>
        </w:rPr>
        <w:t>j</w:t>
      </w:r>
      <w:r w:rsidR="00D4188B">
        <w:rPr>
          <w:rFonts w:ascii="Arial" w:hAnsi="Arial" w:cs="Arial"/>
        </w:rPr>
        <w:t xml:space="preserve">ust on PO side, not on invoice side). </w:t>
      </w:r>
      <w:r w:rsidR="00A750A4">
        <w:rPr>
          <w:rFonts w:ascii="Arial" w:hAnsi="Arial" w:cs="Arial"/>
        </w:rPr>
        <w:t xml:space="preserve">The next </w:t>
      </w:r>
      <w:r w:rsidR="00D4188B">
        <w:rPr>
          <w:rFonts w:ascii="Arial" w:hAnsi="Arial" w:cs="Arial"/>
        </w:rPr>
        <w:t>step is to set up direct deposits with vendors.</w:t>
      </w:r>
      <w:r w:rsidR="001F48F7">
        <w:rPr>
          <w:rFonts w:ascii="Arial" w:hAnsi="Arial" w:cs="Arial"/>
        </w:rPr>
        <w:br/>
      </w:r>
      <w:r w:rsidR="00227A01">
        <w:rPr>
          <w:rFonts w:ascii="Arial" w:hAnsi="Arial" w:cs="Arial"/>
        </w:rPr>
        <w:br/>
      </w:r>
      <w:r>
        <w:rPr>
          <w:rFonts w:ascii="Arial" w:hAnsi="Arial" w:cs="Arial"/>
          <w:b/>
        </w:rPr>
        <w:br/>
      </w:r>
      <w:r w:rsidR="009C429A" w:rsidRPr="00D4188B">
        <w:rPr>
          <w:rFonts w:ascii="Arial" w:hAnsi="Arial" w:cs="Arial"/>
          <w:b/>
        </w:rPr>
        <w:t>F</w:t>
      </w:r>
      <w:r w:rsidR="00A0694B">
        <w:rPr>
          <w:rFonts w:ascii="Arial" w:hAnsi="Arial" w:cs="Arial"/>
          <w:b/>
        </w:rPr>
        <w:t xml:space="preserve">lexible </w:t>
      </w:r>
      <w:r w:rsidR="009C429A" w:rsidRPr="00D4188B">
        <w:rPr>
          <w:rFonts w:ascii="Arial" w:hAnsi="Arial" w:cs="Arial"/>
          <w:b/>
        </w:rPr>
        <w:t>S</w:t>
      </w:r>
      <w:r w:rsidR="00A0694B">
        <w:rPr>
          <w:rFonts w:ascii="Arial" w:hAnsi="Arial" w:cs="Arial"/>
          <w:b/>
        </w:rPr>
        <w:t xml:space="preserve">pending </w:t>
      </w:r>
      <w:r w:rsidR="009C429A" w:rsidRPr="00D4188B">
        <w:rPr>
          <w:rFonts w:ascii="Arial" w:hAnsi="Arial" w:cs="Arial"/>
          <w:b/>
        </w:rPr>
        <w:t>A</w:t>
      </w:r>
      <w:r w:rsidR="00A0694B">
        <w:rPr>
          <w:rFonts w:ascii="Arial" w:hAnsi="Arial" w:cs="Arial"/>
          <w:b/>
        </w:rPr>
        <w:t>ccounts</w:t>
      </w:r>
      <w:r w:rsidR="009C429A" w:rsidRPr="00D4188B">
        <w:rPr>
          <w:rFonts w:ascii="Arial" w:hAnsi="Arial" w:cs="Arial"/>
          <w:b/>
        </w:rPr>
        <w:t xml:space="preserve"> - Mark Paganelli</w:t>
      </w:r>
      <w:r w:rsidR="00227A01">
        <w:rPr>
          <w:rFonts w:ascii="Arial" w:hAnsi="Arial" w:cs="Arial"/>
        </w:rPr>
        <w:br/>
      </w:r>
      <w:r w:rsidR="00A750A4">
        <w:rPr>
          <w:rFonts w:ascii="Arial" w:hAnsi="Arial" w:cs="Arial"/>
        </w:rPr>
        <w:t xml:space="preserve">Enrollment in flexible spending had to be moved up to allow </w:t>
      </w:r>
      <w:r w:rsidR="00A0694B">
        <w:rPr>
          <w:rFonts w:ascii="Arial" w:hAnsi="Arial" w:cs="Arial"/>
        </w:rPr>
        <w:t xml:space="preserve">debit cards to be available.  </w:t>
      </w:r>
      <w:r w:rsidR="00C42633">
        <w:rPr>
          <w:rFonts w:ascii="Arial" w:hAnsi="Arial" w:cs="Arial"/>
        </w:rPr>
        <w:t>The v</w:t>
      </w:r>
      <w:r w:rsidR="00A0694B">
        <w:rPr>
          <w:rFonts w:ascii="Arial" w:hAnsi="Arial" w:cs="Arial"/>
        </w:rPr>
        <w:t xml:space="preserve">endor will </w:t>
      </w:r>
      <w:r w:rsidR="00C42633">
        <w:rPr>
          <w:rFonts w:ascii="Arial" w:hAnsi="Arial" w:cs="Arial"/>
        </w:rPr>
        <w:t>make training available at each campus/institute.  There is an extra</w:t>
      </w:r>
      <w:r w:rsidR="00A0694B">
        <w:rPr>
          <w:rFonts w:ascii="Arial" w:hAnsi="Arial" w:cs="Arial"/>
        </w:rPr>
        <w:t xml:space="preserve"> $50,000 - $60,000 </w:t>
      </w:r>
      <w:r w:rsidR="00C42633">
        <w:rPr>
          <w:rFonts w:ascii="Arial" w:hAnsi="Arial" w:cs="Arial"/>
        </w:rPr>
        <w:t xml:space="preserve">associated </w:t>
      </w:r>
      <w:r w:rsidR="00A0694B">
        <w:rPr>
          <w:rFonts w:ascii="Arial" w:hAnsi="Arial" w:cs="Arial"/>
        </w:rPr>
        <w:t>in costs.</w:t>
      </w:r>
      <w:r w:rsidR="0050403F">
        <w:rPr>
          <w:rFonts w:ascii="Arial" w:hAnsi="Arial" w:cs="Arial"/>
        </w:rPr>
        <w:t xml:space="preserve"> </w:t>
      </w:r>
      <w:r w:rsidR="00C42633">
        <w:rPr>
          <w:rFonts w:ascii="Arial" w:hAnsi="Arial" w:cs="Arial"/>
        </w:rPr>
        <w:t xml:space="preserve">It is anticipated that funding is available to cover this cost for four years.  Employees will have to sign onto </w:t>
      </w:r>
      <w:r w:rsidR="0050403F">
        <w:rPr>
          <w:rFonts w:ascii="Arial" w:hAnsi="Arial" w:cs="Arial"/>
        </w:rPr>
        <w:t>Health Hub to enroll.</w:t>
      </w:r>
      <w:r w:rsidR="001F48F7">
        <w:rPr>
          <w:rFonts w:ascii="Arial" w:hAnsi="Arial" w:cs="Arial"/>
        </w:rPr>
        <w:br/>
      </w:r>
      <w:r w:rsidR="00227A01">
        <w:rPr>
          <w:rFonts w:ascii="Arial" w:hAnsi="Arial" w:cs="Arial"/>
        </w:rPr>
        <w:br/>
      </w:r>
      <w:r>
        <w:rPr>
          <w:rFonts w:ascii="Arial" w:hAnsi="Arial" w:cs="Arial"/>
          <w:b/>
        </w:rPr>
        <w:br/>
      </w:r>
      <w:r w:rsidR="009C429A" w:rsidRPr="00D4188B">
        <w:rPr>
          <w:rFonts w:ascii="Arial" w:hAnsi="Arial" w:cs="Arial"/>
          <w:b/>
        </w:rPr>
        <w:t>System Contract Items – Blake Reagan</w:t>
      </w:r>
      <w:r w:rsidR="00227A01">
        <w:rPr>
          <w:rFonts w:ascii="Arial" w:hAnsi="Arial" w:cs="Arial"/>
        </w:rPr>
        <w:br/>
      </w:r>
      <w:r w:rsidR="00324F74">
        <w:rPr>
          <w:rFonts w:ascii="Arial" w:hAnsi="Arial" w:cs="Arial"/>
        </w:rPr>
        <w:t>Virtually</w:t>
      </w:r>
      <w:r w:rsidR="00F25C38">
        <w:rPr>
          <w:rFonts w:ascii="Arial" w:hAnsi="Arial" w:cs="Arial"/>
        </w:rPr>
        <w:t xml:space="preserve"> all contracts supplied by vendors contain limitations of liability and disclaimers of warranty clauses.  Sometimes, the only problems are the limitation of liability and disclaimers of warranty clauses.  In order to make the exception process for these more efficient, </w:t>
      </w:r>
      <w:r w:rsidR="008D2D41">
        <w:rPr>
          <w:rFonts w:ascii="Arial" w:hAnsi="Arial" w:cs="Arial"/>
        </w:rPr>
        <w:t>three m</w:t>
      </w:r>
      <w:r w:rsidR="00F25C38">
        <w:rPr>
          <w:rFonts w:ascii="Arial" w:hAnsi="Arial" w:cs="Arial"/>
        </w:rPr>
        <w:t>ethods for dealing with these clauses have been developed:</w:t>
      </w:r>
    </w:p>
    <w:p w:rsidR="00F25C38" w:rsidRDefault="008D2D41" w:rsidP="00F25C38">
      <w:pPr>
        <w:pStyle w:val="ListParagraph"/>
        <w:numPr>
          <w:ilvl w:val="0"/>
          <w:numId w:val="40"/>
        </w:numPr>
        <w:rPr>
          <w:rFonts w:ascii="Arial" w:hAnsi="Arial" w:cs="Arial"/>
        </w:rPr>
      </w:pPr>
      <w:r>
        <w:rPr>
          <w:rFonts w:ascii="Arial" w:hAnsi="Arial" w:cs="Arial"/>
          <w:i/>
        </w:rPr>
        <w:t>A c</w:t>
      </w:r>
      <w:r w:rsidR="00F25C38" w:rsidRPr="00F25C38">
        <w:rPr>
          <w:rFonts w:ascii="Arial" w:hAnsi="Arial" w:cs="Arial"/>
          <w:i/>
        </w:rPr>
        <w:t>hange in the way that campus contract offices approach these clauses</w:t>
      </w:r>
      <w:r w:rsidR="00F25C38">
        <w:rPr>
          <w:rFonts w:ascii="Arial" w:hAnsi="Arial" w:cs="Arial"/>
        </w:rPr>
        <w:t xml:space="preserve"> – In recognition that very few vendors ever agree to totally delete their limitations of liability and disclaimers of warranty clauses, campus contract offices are no longer </w:t>
      </w:r>
      <w:r w:rsidR="00F25C38">
        <w:rPr>
          <w:rFonts w:ascii="Arial" w:hAnsi="Arial" w:cs="Arial"/>
          <w:u w:val="single"/>
        </w:rPr>
        <w:t>required</w:t>
      </w:r>
      <w:r w:rsidR="00F25C38">
        <w:rPr>
          <w:rFonts w:ascii="Arial" w:hAnsi="Arial" w:cs="Arial"/>
        </w:rPr>
        <w:t xml:space="preserve"> to first request total deletion of limitation of liability classes or disclaimer of warranty clauses.  Rather, campus contract officers now may use their discretion and decide whether the starting point should be modified of the vendor’s language so that it is compliant.</w:t>
      </w:r>
    </w:p>
    <w:p w:rsidR="00F25C38" w:rsidRPr="008D2D41" w:rsidRDefault="008D2D41" w:rsidP="00F25C38">
      <w:pPr>
        <w:pStyle w:val="ListParagraph"/>
        <w:numPr>
          <w:ilvl w:val="0"/>
          <w:numId w:val="40"/>
        </w:numPr>
        <w:rPr>
          <w:rFonts w:ascii="Arial" w:hAnsi="Arial" w:cs="Arial"/>
          <w:i/>
        </w:rPr>
      </w:pPr>
      <w:r w:rsidRPr="008D2D41">
        <w:rPr>
          <w:rFonts w:ascii="Arial" w:hAnsi="Arial" w:cs="Arial"/>
          <w:i/>
        </w:rPr>
        <w:t>When</w:t>
      </w:r>
      <w:r>
        <w:rPr>
          <w:rFonts w:ascii="Arial" w:hAnsi="Arial" w:cs="Arial"/>
          <w:i/>
        </w:rPr>
        <w:t xml:space="preserve"> an exception is not required – </w:t>
      </w:r>
      <w:r>
        <w:rPr>
          <w:rFonts w:ascii="Arial" w:hAnsi="Arial" w:cs="Arial"/>
        </w:rPr>
        <w:t xml:space="preserve">1) For </w:t>
      </w:r>
      <w:r w:rsidRPr="008D2D41">
        <w:rPr>
          <w:rFonts w:ascii="Arial" w:hAnsi="Arial" w:cs="Arial"/>
          <w:u w:val="single"/>
        </w:rPr>
        <w:t>all contracts</w:t>
      </w:r>
      <w:r>
        <w:rPr>
          <w:rFonts w:ascii="Arial" w:hAnsi="Arial" w:cs="Arial"/>
        </w:rPr>
        <w:t xml:space="preserve"> valued at $4,999 or less, a formal exception request is not required if negotiation fails; 2) Software agreements, library subscription agreements, and any agreement dealing with access to online databases </w:t>
      </w:r>
      <w:r w:rsidRPr="008D2D41">
        <w:rPr>
          <w:rFonts w:ascii="Arial" w:hAnsi="Arial" w:cs="Arial"/>
          <w:u w:val="single"/>
        </w:rPr>
        <w:t>of any value</w:t>
      </w:r>
      <w:r>
        <w:rPr>
          <w:rFonts w:ascii="Arial" w:hAnsi="Arial" w:cs="Arial"/>
        </w:rPr>
        <w:t xml:space="preserve"> do not require exception if negotiation fails; and 3) Agreements negotiated by campus purchasing offices when no contract will be processed through the appropriate campus contract office.  In such, the purchasing offices should consult with the appropriate campus </w:t>
      </w:r>
      <w:r w:rsidR="00684BE1">
        <w:rPr>
          <w:rFonts w:ascii="Arial" w:hAnsi="Arial" w:cs="Arial"/>
        </w:rPr>
        <w:t>CBO</w:t>
      </w:r>
      <w:r>
        <w:rPr>
          <w:rFonts w:ascii="Arial" w:hAnsi="Arial" w:cs="Arial"/>
        </w:rPr>
        <w:t xml:space="preserve"> via email.</w:t>
      </w:r>
    </w:p>
    <w:p w:rsidR="008D2D41" w:rsidRPr="008D2D41" w:rsidRDefault="008D2D41" w:rsidP="00F25C38">
      <w:pPr>
        <w:pStyle w:val="ListParagraph"/>
        <w:numPr>
          <w:ilvl w:val="0"/>
          <w:numId w:val="40"/>
        </w:numPr>
        <w:rPr>
          <w:rFonts w:ascii="Arial" w:hAnsi="Arial" w:cs="Arial"/>
          <w:i/>
        </w:rPr>
      </w:pPr>
      <w:r>
        <w:rPr>
          <w:rFonts w:ascii="Arial" w:hAnsi="Arial" w:cs="Arial"/>
          <w:i/>
        </w:rPr>
        <w:t xml:space="preserve">Streamlined exception process when an exception is required - </w:t>
      </w:r>
      <w:r>
        <w:rPr>
          <w:rFonts w:ascii="Arial" w:hAnsi="Arial" w:cs="Arial"/>
        </w:rPr>
        <w:t xml:space="preserve"> 1) Unless excluded above, for </w:t>
      </w:r>
      <w:r>
        <w:rPr>
          <w:rFonts w:ascii="Arial" w:hAnsi="Arial" w:cs="Arial"/>
          <w:u w:val="single"/>
        </w:rPr>
        <w:t>delegated</w:t>
      </w:r>
      <w:r>
        <w:rPr>
          <w:rFonts w:ascii="Arial" w:hAnsi="Arial" w:cs="Arial"/>
        </w:rPr>
        <w:t xml:space="preserve"> contracts that are valued at $5,000 or more, a formal exception request is required and must be approved by the appropriate campus’s CBO</w:t>
      </w:r>
      <w:r w:rsidR="00684BE1">
        <w:rPr>
          <w:rFonts w:ascii="Arial" w:hAnsi="Arial" w:cs="Arial"/>
        </w:rPr>
        <w:t xml:space="preserve">, but does not need to be approved by the University’s CFO; 2) All exception requests for limitation of liability and disclaimer of warranty clauses that are associated with non-delegated contracts will continue to require the appropriate campus’s CBO </w:t>
      </w:r>
      <w:r w:rsidR="00684BE1">
        <w:rPr>
          <w:rFonts w:ascii="Arial" w:hAnsi="Arial" w:cs="Arial"/>
          <w:u w:val="single"/>
        </w:rPr>
        <w:t>and</w:t>
      </w:r>
      <w:r w:rsidR="00684BE1">
        <w:rPr>
          <w:rFonts w:ascii="Arial" w:hAnsi="Arial" w:cs="Arial"/>
        </w:rPr>
        <w:t xml:space="preserve"> the University’s CFO’s approval; and 3) As part of the exception request for all contracts, the department requesting the exception must document in writing (a) why it must have the product to carry out the University’s mission; (b) what efforts it has made to identify alternative products and/or vendors; (c) the potential risks to the University of agreeing to the limitations of liability and disclaimers of warranty; and (d) what efforts it will </w:t>
      </w:r>
      <w:r w:rsidR="00C3673A">
        <w:rPr>
          <w:rFonts w:ascii="Arial" w:hAnsi="Arial" w:cs="Arial"/>
        </w:rPr>
        <w:t>make to limit or eliminate the potential exposure to the University arising from agreeing to the limitations of liability and disclaimers warranty.  This documentation should be routed through the contract review process and retained with the contact in IRIS.</w:t>
      </w:r>
    </w:p>
    <w:p w:rsidR="00F25C38" w:rsidRPr="00C3673A" w:rsidRDefault="00F25C38" w:rsidP="00C3673A">
      <w:pPr>
        <w:ind w:left="1080"/>
        <w:rPr>
          <w:rFonts w:ascii="Arial" w:hAnsi="Arial" w:cs="Arial"/>
        </w:rPr>
      </w:pPr>
    </w:p>
    <w:p w:rsidR="00B77ABF" w:rsidRDefault="00C3673A" w:rsidP="00B77ABF">
      <w:pPr>
        <w:pStyle w:val="ListParagraph"/>
      </w:pPr>
      <w:r>
        <w:rPr>
          <w:rFonts w:ascii="Arial" w:hAnsi="Arial" w:cs="Arial"/>
        </w:rPr>
        <w:t>An explanation form for vendors is coming soon.  The University reserves the right to reject a bid if the vendor c</w:t>
      </w:r>
      <w:r w:rsidR="001A3E3B" w:rsidRPr="00F25C38">
        <w:rPr>
          <w:rFonts w:ascii="Arial" w:hAnsi="Arial" w:cs="Arial"/>
        </w:rPr>
        <w:t>an’t accept our terms and conditions.</w:t>
      </w:r>
      <w:r w:rsidR="001A3E3B" w:rsidRPr="00F25C38">
        <w:rPr>
          <w:rFonts w:ascii="Arial" w:hAnsi="Arial" w:cs="Arial"/>
        </w:rPr>
        <w:br/>
      </w:r>
      <w:r w:rsidR="001A3E3B" w:rsidRPr="00F25C38">
        <w:rPr>
          <w:rFonts w:ascii="Arial" w:hAnsi="Arial" w:cs="Arial"/>
        </w:rPr>
        <w:br/>
      </w:r>
      <w:r>
        <w:rPr>
          <w:rFonts w:ascii="Arial" w:hAnsi="Arial" w:cs="Arial"/>
        </w:rPr>
        <w:t xml:space="preserve">A couple of new items have been added to the </w:t>
      </w:r>
      <w:r w:rsidR="001A3E3B" w:rsidRPr="00F25C38">
        <w:rPr>
          <w:rFonts w:ascii="Arial" w:hAnsi="Arial" w:cs="Arial"/>
        </w:rPr>
        <w:t xml:space="preserve">Treasurer’s Office website </w:t>
      </w:r>
      <w:r>
        <w:rPr>
          <w:rFonts w:ascii="Arial" w:hAnsi="Arial" w:cs="Arial"/>
        </w:rPr>
        <w:t>(including</w:t>
      </w:r>
      <w:r w:rsidR="001A3E3B" w:rsidRPr="00F25C38">
        <w:rPr>
          <w:rFonts w:ascii="Arial" w:hAnsi="Arial" w:cs="Arial"/>
        </w:rPr>
        <w:t xml:space="preserve"> IRIS training</w:t>
      </w:r>
      <w:r>
        <w:rPr>
          <w:rFonts w:ascii="Arial" w:hAnsi="Arial" w:cs="Arial"/>
        </w:rPr>
        <w:t xml:space="preserve">).  </w:t>
      </w:r>
      <w:r w:rsidR="00222185">
        <w:rPr>
          <w:rFonts w:ascii="Arial" w:hAnsi="Arial" w:cs="Arial"/>
        </w:rPr>
        <w:br/>
      </w:r>
      <w:r>
        <w:rPr>
          <w:rFonts w:ascii="Arial" w:hAnsi="Arial" w:cs="Arial"/>
        </w:rPr>
        <w:br/>
      </w:r>
    </w:p>
    <w:p w:rsidR="009939A8" w:rsidRDefault="008D6F69" w:rsidP="00C3673A">
      <w:pPr>
        <w:pStyle w:val="ListParagraph"/>
        <w:rPr>
          <w:rFonts w:ascii="Arial" w:hAnsi="Arial" w:cs="Arial"/>
        </w:rPr>
      </w:pPr>
      <w:r w:rsidRPr="00F25C38">
        <w:rPr>
          <w:rFonts w:ascii="Arial" w:hAnsi="Arial" w:cs="Arial"/>
          <w:b/>
        </w:rPr>
        <w:t>911 Campus Systems – Richard Brown</w:t>
      </w:r>
      <w:r w:rsidR="00CA2FED" w:rsidRPr="00F25C38">
        <w:rPr>
          <w:rFonts w:ascii="Arial" w:hAnsi="Arial" w:cs="Arial"/>
        </w:rPr>
        <w:br/>
        <w:t>Anthony Haynes has been heading up</w:t>
      </w:r>
      <w:r w:rsidR="00C3673A">
        <w:rPr>
          <w:rFonts w:ascii="Arial" w:hAnsi="Arial" w:cs="Arial"/>
        </w:rPr>
        <w:t xml:space="preserve"> the 911 P</w:t>
      </w:r>
      <w:r w:rsidR="00CA2FED" w:rsidRPr="00F25C38">
        <w:rPr>
          <w:rFonts w:ascii="Arial" w:hAnsi="Arial" w:cs="Arial"/>
        </w:rPr>
        <w:t xml:space="preserve">rogram at the state level.  </w:t>
      </w:r>
      <w:r w:rsidR="00222185">
        <w:rPr>
          <w:rFonts w:ascii="Arial" w:hAnsi="Arial" w:cs="Arial"/>
        </w:rPr>
        <w:t xml:space="preserve">Campuses and </w:t>
      </w:r>
      <w:r w:rsidR="00C3673A">
        <w:rPr>
          <w:rFonts w:ascii="Arial" w:hAnsi="Arial" w:cs="Arial"/>
        </w:rPr>
        <w:t xml:space="preserve">institutes need to have </w:t>
      </w:r>
      <w:r w:rsidR="00CA2FED" w:rsidRPr="00F25C38">
        <w:rPr>
          <w:rFonts w:ascii="Arial" w:hAnsi="Arial" w:cs="Arial"/>
        </w:rPr>
        <w:t xml:space="preserve">the technology </w:t>
      </w:r>
      <w:r w:rsidR="00C3673A">
        <w:rPr>
          <w:rFonts w:ascii="Arial" w:hAnsi="Arial" w:cs="Arial"/>
        </w:rPr>
        <w:t xml:space="preserve">in place </w:t>
      </w:r>
      <w:r w:rsidR="00CA2FED" w:rsidRPr="00F25C38">
        <w:rPr>
          <w:rFonts w:ascii="Arial" w:hAnsi="Arial" w:cs="Arial"/>
        </w:rPr>
        <w:t>for medical personal</w:t>
      </w:r>
      <w:r w:rsidR="00C3673A">
        <w:rPr>
          <w:rFonts w:ascii="Arial" w:hAnsi="Arial" w:cs="Arial"/>
        </w:rPr>
        <w:t xml:space="preserve"> to be able to find </w:t>
      </w:r>
      <w:r w:rsidR="00CA2FED" w:rsidRPr="00F25C38">
        <w:rPr>
          <w:rFonts w:ascii="Arial" w:hAnsi="Arial" w:cs="Arial"/>
        </w:rPr>
        <w:t>individuals</w:t>
      </w:r>
      <w:r w:rsidR="00C3673A">
        <w:rPr>
          <w:rFonts w:ascii="Arial" w:hAnsi="Arial" w:cs="Arial"/>
        </w:rPr>
        <w:t xml:space="preserve">.  Employees need to be educated on how to use </w:t>
      </w:r>
      <w:r w:rsidR="00CA2FED" w:rsidRPr="00F25C38">
        <w:rPr>
          <w:rFonts w:ascii="Arial" w:hAnsi="Arial" w:cs="Arial"/>
        </w:rPr>
        <w:t>the E-911 system</w:t>
      </w:r>
      <w:r w:rsidR="00C3673A">
        <w:rPr>
          <w:rFonts w:ascii="Arial" w:hAnsi="Arial" w:cs="Arial"/>
        </w:rPr>
        <w:t xml:space="preserve">.  </w:t>
      </w:r>
      <w:r w:rsidR="00CA2FED" w:rsidRPr="00F25C38">
        <w:rPr>
          <w:rFonts w:ascii="Arial" w:hAnsi="Arial" w:cs="Arial"/>
        </w:rPr>
        <w:t>Anthony feels that even though no state legislation</w:t>
      </w:r>
      <w:r w:rsidR="00C3673A">
        <w:rPr>
          <w:rFonts w:ascii="Arial" w:hAnsi="Arial" w:cs="Arial"/>
        </w:rPr>
        <w:t xml:space="preserve"> requir</w:t>
      </w:r>
      <w:r w:rsidR="009939A8">
        <w:rPr>
          <w:rFonts w:ascii="Arial" w:hAnsi="Arial" w:cs="Arial"/>
        </w:rPr>
        <w:t>es</w:t>
      </w:r>
      <w:r w:rsidR="00C3673A">
        <w:rPr>
          <w:rFonts w:ascii="Arial" w:hAnsi="Arial" w:cs="Arial"/>
        </w:rPr>
        <w:t xml:space="preserve"> a 911system</w:t>
      </w:r>
      <w:r w:rsidR="009939A8">
        <w:rPr>
          <w:rFonts w:ascii="Arial" w:hAnsi="Arial" w:cs="Arial"/>
        </w:rPr>
        <w:t xml:space="preserve"> to be in place</w:t>
      </w:r>
      <w:r w:rsidR="00C3673A">
        <w:rPr>
          <w:rFonts w:ascii="Arial" w:hAnsi="Arial" w:cs="Arial"/>
        </w:rPr>
        <w:t xml:space="preserve">, </w:t>
      </w:r>
      <w:r w:rsidR="00CA2FED" w:rsidRPr="00F25C38">
        <w:rPr>
          <w:rFonts w:ascii="Arial" w:hAnsi="Arial" w:cs="Arial"/>
        </w:rPr>
        <w:t xml:space="preserve">the University should be proactive and not wait until legislation is passed before initiating a process. Butch </w:t>
      </w:r>
      <w:r w:rsidR="001F48F7" w:rsidRPr="00F25C38">
        <w:rPr>
          <w:rFonts w:ascii="Arial" w:hAnsi="Arial" w:cs="Arial"/>
        </w:rPr>
        <w:t xml:space="preserve">asked Richard to head an </w:t>
      </w:r>
      <w:r w:rsidR="00CA2FED" w:rsidRPr="00F25C38">
        <w:rPr>
          <w:rFonts w:ascii="Arial" w:hAnsi="Arial" w:cs="Arial"/>
        </w:rPr>
        <w:t>Ad Hoc Committee to determine best practices from each campus. Each campus was asked to send Richard the name of a representative.</w:t>
      </w:r>
      <w:r w:rsidR="00227A01" w:rsidRPr="00F25C38">
        <w:rPr>
          <w:rFonts w:ascii="Arial" w:hAnsi="Arial" w:cs="Arial"/>
        </w:rPr>
        <w:br/>
      </w:r>
      <w:r w:rsidR="00227A01" w:rsidRPr="00F25C38">
        <w:rPr>
          <w:rFonts w:ascii="Arial" w:hAnsi="Arial" w:cs="Arial"/>
        </w:rPr>
        <w:br/>
      </w:r>
      <w:r w:rsidR="00222185">
        <w:rPr>
          <w:rFonts w:ascii="Arial" w:hAnsi="Arial" w:cs="Arial"/>
          <w:b/>
        </w:rPr>
        <w:br/>
      </w:r>
      <w:r w:rsidR="004B7968" w:rsidRPr="00F25C38">
        <w:rPr>
          <w:rFonts w:ascii="Arial" w:hAnsi="Arial" w:cs="Arial"/>
          <w:b/>
        </w:rPr>
        <w:t>IRIS Update – Les Mathews</w:t>
      </w:r>
      <w:r w:rsidR="00227A01" w:rsidRPr="00F25C38">
        <w:rPr>
          <w:rFonts w:ascii="Arial" w:hAnsi="Arial" w:cs="Arial"/>
        </w:rPr>
        <w:br/>
      </w:r>
      <w:r w:rsidR="009939A8">
        <w:rPr>
          <w:rFonts w:ascii="Arial" w:hAnsi="Arial" w:cs="Arial"/>
        </w:rPr>
        <w:t>The FY 2013 (October to December) plan includes work on the following:</w:t>
      </w:r>
    </w:p>
    <w:p w:rsidR="0070200D" w:rsidRDefault="0070200D" w:rsidP="0070200D">
      <w:pPr>
        <w:ind w:left="1080"/>
        <w:rPr>
          <w:rFonts w:ascii="Arial" w:hAnsi="Arial" w:cs="Arial"/>
          <w:i/>
        </w:rPr>
      </w:pPr>
      <w:r>
        <w:rPr>
          <w:rFonts w:ascii="Arial" w:hAnsi="Arial" w:cs="Arial"/>
          <w:i/>
        </w:rPr>
        <w:t>FINANCIAL:</w:t>
      </w:r>
    </w:p>
    <w:p w:rsidR="0070200D" w:rsidRDefault="00DD3ACE" w:rsidP="009939A8">
      <w:pPr>
        <w:pStyle w:val="ListParagraph"/>
        <w:numPr>
          <w:ilvl w:val="0"/>
          <w:numId w:val="41"/>
        </w:numPr>
        <w:rPr>
          <w:rFonts w:ascii="Arial" w:hAnsi="Arial" w:cs="Arial"/>
        </w:rPr>
      </w:pPr>
      <w:r w:rsidRPr="0070200D">
        <w:rPr>
          <w:rFonts w:ascii="Arial" w:hAnsi="Arial" w:cs="Arial"/>
          <w:i/>
        </w:rPr>
        <w:t>Accounts Payable</w:t>
      </w:r>
      <w:r w:rsidR="009939A8" w:rsidRPr="0070200D">
        <w:rPr>
          <w:rFonts w:ascii="Arial" w:hAnsi="Arial" w:cs="Arial"/>
        </w:rPr>
        <w:t xml:space="preserve"> - </w:t>
      </w:r>
      <w:r w:rsidR="001A3E3B" w:rsidRPr="0070200D">
        <w:rPr>
          <w:rFonts w:ascii="Arial" w:hAnsi="Arial" w:cs="Arial"/>
        </w:rPr>
        <w:t>completing e-payables</w:t>
      </w:r>
      <w:r w:rsidR="009939A8" w:rsidRPr="0070200D">
        <w:rPr>
          <w:rFonts w:ascii="Arial" w:hAnsi="Arial" w:cs="Arial"/>
        </w:rPr>
        <w:t xml:space="preserve"> and</w:t>
      </w:r>
      <w:r w:rsidR="001A3E3B" w:rsidRPr="0070200D">
        <w:rPr>
          <w:rFonts w:ascii="Arial" w:hAnsi="Arial" w:cs="Arial"/>
        </w:rPr>
        <w:t xml:space="preserve"> ACH payments</w:t>
      </w:r>
    </w:p>
    <w:p w:rsidR="009939A8" w:rsidRPr="0070200D" w:rsidRDefault="00DD3ACE" w:rsidP="009939A8">
      <w:pPr>
        <w:pStyle w:val="ListParagraph"/>
        <w:numPr>
          <w:ilvl w:val="0"/>
          <w:numId w:val="41"/>
        </w:numPr>
        <w:rPr>
          <w:rFonts w:ascii="Arial" w:hAnsi="Arial" w:cs="Arial"/>
        </w:rPr>
      </w:pPr>
      <w:r w:rsidRPr="0070200D">
        <w:rPr>
          <w:rFonts w:ascii="Arial" w:hAnsi="Arial" w:cs="Arial"/>
          <w:i/>
        </w:rPr>
        <w:t>Contract System</w:t>
      </w:r>
      <w:r w:rsidR="009939A8" w:rsidRPr="0070200D">
        <w:rPr>
          <w:rFonts w:ascii="Arial" w:hAnsi="Arial" w:cs="Arial"/>
        </w:rPr>
        <w:t xml:space="preserve"> – paying invoices against purchase orders</w:t>
      </w:r>
    </w:p>
    <w:p w:rsidR="009939A8" w:rsidRDefault="00DD3ACE" w:rsidP="009939A8">
      <w:pPr>
        <w:pStyle w:val="ListParagraph"/>
        <w:numPr>
          <w:ilvl w:val="0"/>
          <w:numId w:val="41"/>
        </w:numPr>
        <w:rPr>
          <w:rFonts w:ascii="Arial" w:hAnsi="Arial" w:cs="Arial"/>
        </w:rPr>
      </w:pPr>
      <w:r w:rsidRPr="009939A8">
        <w:rPr>
          <w:rFonts w:ascii="Arial" w:hAnsi="Arial" w:cs="Arial"/>
          <w:i/>
        </w:rPr>
        <w:t xml:space="preserve">Procurement </w:t>
      </w:r>
      <w:r w:rsidR="009939A8">
        <w:rPr>
          <w:rFonts w:ascii="Arial" w:hAnsi="Arial" w:cs="Arial"/>
        </w:rPr>
        <w:t>- E-Procurement</w:t>
      </w:r>
    </w:p>
    <w:p w:rsidR="00DD3ACE" w:rsidRDefault="00DD3ACE" w:rsidP="009939A8">
      <w:pPr>
        <w:pStyle w:val="ListParagraph"/>
        <w:numPr>
          <w:ilvl w:val="0"/>
          <w:numId w:val="41"/>
        </w:numPr>
        <w:rPr>
          <w:rFonts w:ascii="Arial" w:hAnsi="Arial" w:cs="Arial"/>
        </w:rPr>
      </w:pPr>
      <w:r w:rsidRPr="009939A8">
        <w:rPr>
          <w:rFonts w:ascii="Arial" w:hAnsi="Arial" w:cs="Arial"/>
          <w:i/>
        </w:rPr>
        <w:t>Other</w:t>
      </w:r>
      <w:r w:rsidR="009939A8">
        <w:rPr>
          <w:rFonts w:ascii="Arial" w:hAnsi="Arial" w:cs="Arial"/>
        </w:rPr>
        <w:t xml:space="preserve"> - Support packs</w:t>
      </w:r>
    </w:p>
    <w:p w:rsidR="00DD3ACE" w:rsidRDefault="009939A8" w:rsidP="00177661">
      <w:pPr>
        <w:pStyle w:val="ListParagraph"/>
        <w:numPr>
          <w:ilvl w:val="0"/>
          <w:numId w:val="41"/>
        </w:numPr>
        <w:rPr>
          <w:rFonts w:ascii="Arial" w:hAnsi="Arial" w:cs="Arial"/>
        </w:rPr>
      </w:pPr>
      <w:r w:rsidRPr="009939A8">
        <w:rPr>
          <w:rFonts w:ascii="Arial" w:hAnsi="Arial" w:cs="Arial"/>
          <w:i/>
        </w:rPr>
        <w:t xml:space="preserve">HR </w:t>
      </w:r>
      <w:r w:rsidRPr="009939A8">
        <w:rPr>
          <w:rFonts w:ascii="Arial" w:hAnsi="Arial" w:cs="Arial"/>
        </w:rPr>
        <w:t xml:space="preserve">- </w:t>
      </w:r>
      <w:r w:rsidR="00DD3ACE" w:rsidRPr="009939A8">
        <w:rPr>
          <w:rFonts w:ascii="Arial" w:hAnsi="Arial" w:cs="Arial"/>
        </w:rPr>
        <w:t>Employee self</w:t>
      </w:r>
      <w:r w:rsidR="0070200D">
        <w:rPr>
          <w:rFonts w:ascii="Arial" w:hAnsi="Arial" w:cs="Arial"/>
        </w:rPr>
        <w:t>-service, b</w:t>
      </w:r>
      <w:r w:rsidR="00DD3ACE" w:rsidRPr="009939A8">
        <w:rPr>
          <w:rFonts w:ascii="Arial" w:hAnsi="Arial" w:cs="Arial"/>
        </w:rPr>
        <w:t xml:space="preserve">enefits statement, update addresses; </w:t>
      </w:r>
      <w:r w:rsidR="0070200D">
        <w:rPr>
          <w:rFonts w:ascii="Arial" w:hAnsi="Arial" w:cs="Arial"/>
        </w:rPr>
        <w:t>flexible spending accounts and</w:t>
      </w:r>
      <w:r w:rsidR="00DD3ACE" w:rsidRPr="009939A8">
        <w:rPr>
          <w:rFonts w:ascii="Arial" w:hAnsi="Arial" w:cs="Arial"/>
        </w:rPr>
        <w:t xml:space="preserve"> how to </w:t>
      </w:r>
      <w:r w:rsidR="0070200D">
        <w:rPr>
          <w:rFonts w:ascii="Arial" w:hAnsi="Arial" w:cs="Arial"/>
        </w:rPr>
        <w:t>capture historical salary data</w:t>
      </w:r>
    </w:p>
    <w:p w:rsidR="0070200D" w:rsidRPr="0070200D" w:rsidRDefault="0070200D" w:rsidP="0070200D">
      <w:pPr>
        <w:ind w:left="1080"/>
        <w:rPr>
          <w:rFonts w:ascii="Arial" w:hAnsi="Arial" w:cs="Arial"/>
          <w:i/>
        </w:rPr>
      </w:pPr>
      <w:r w:rsidRPr="0070200D">
        <w:rPr>
          <w:rFonts w:ascii="Arial" w:hAnsi="Arial" w:cs="Arial"/>
          <w:i/>
        </w:rPr>
        <w:t>B</w:t>
      </w:r>
      <w:r>
        <w:rPr>
          <w:rFonts w:ascii="Arial" w:hAnsi="Arial" w:cs="Arial"/>
          <w:i/>
        </w:rPr>
        <w:t>USINESS WAREHOUSE:</w:t>
      </w:r>
    </w:p>
    <w:p w:rsidR="0070200D" w:rsidRDefault="0070200D" w:rsidP="0070200D">
      <w:pPr>
        <w:pStyle w:val="ListParagraph"/>
        <w:numPr>
          <w:ilvl w:val="0"/>
          <w:numId w:val="43"/>
        </w:numPr>
        <w:rPr>
          <w:rFonts w:ascii="Arial" w:hAnsi="Arial" w:cs="Arial"/>
        </w:rPr>
      </w:pPr>
      <w:r>
        <w:rPr>
          <w:rFonts w:ascii="Arial" w:hAnsi="Arial" w:cs="Arial"/>
        </w:rPr>
        <w:t xml:space="preserve">Work with ANDI team to update existing structure </w:t>
      </w:r>
      <w:r w:rsidR="00222185">
        <w:rPr>
          <w:rFonts w:ascii="Arial" w:hAnsi="Arial" w:cs="Arial"/>
        </w:rPr>
        <w:t>(</w:t>
      </w:r>
      <w:r>
        <w:rPr>
          <w:rFonts w:ascii="Arial" w:hAnsi="Arial" w:cs="Arial"/>
        </w:rPr>
        <w:t>or define new one</w:t>
      </w:r>
      <w:r w:rsidR="00222185">
        <w:rPr>
          <w:rFonts w:ascii="Arial" w:hAnsi="Arial" w:cs="Arial"/>
        </w:rPr>
        <w:t>)</w:t>
      </w:r>
      <w:r>
        <w:rPr>
          <w:rFonts w:ascii="Arial" w:hAnsi="Arial" w:cs="Arial"/>
        </w:rPr>
        <w:t xml:space="preserve"> and business objects </w:t>
      </w:r>
    </w:p>
    <w:p w:rsidR="00DD3ACE" w:rsidRPr="0070200D" w:rsidRDefault="00DD3ACE" w:rsidP="0070200D">
      <w:pPr>
        <w:pStyle w:val="ListParagraph"/>
        <w:ind w:left="1440"/>
        <w:rPr>
          <w:rFonts w:ascii="Arial" w:hAnsi="Arial" w:cs="Arial"/>
        </w:rPr>
      </w:pPr>
      <w:r w:rsidRPr="0070200D">
        <w:rPr>
          <w:rFonts w:ascii="Arial" w:hAnsi="Arial" w:cs="Arial"/>
        </w:rPr>
        <w:t xml:space="preserve"> </w:t>
      </w:r>
    </w:p>
    <w:p w:rsidR="00222185" w:rsidRDefault="0070200D" w:rsidP="00177661">
      <w:pPr>
        <w:rPr>
          <w:rFonts w:ascii="Arial" w:hAnsi="Arial" w:cs="Arial"/>
          <w:b/>
        </w:rPr>
      </w:pPr>
      <w:r>
        <w:rPr>
          <w:rFonts w:ascii="Arial" w:hAnsi="Arial" w:cs="Arial"/>
        </w:rPr>
        <w:t>Please i</w:t>
      </w:r>
      <w:r w:rsidR="00DD3ACE">
        <w:rPr>
          <w:rFonts w:ascii="Arial" w:hAnsi="Arial" w:cs="Arial"/>
        </w:rPr>
        <w:t xml:space="preserve">nform Les if </w:t>
      </w:r>
      <w:r w:rsidR="00A615D8">
        <w:rPr>
          <w:rFonts w:ascii="Arial" w:hAnsi="Arial" w:cs="Arial"/>
        </w:rPr>
        <w:t>you have needs that are not listed.</w:t>
      </w:r>
      <w:r w:rsidR="001A3E3B">
        <w:rPr>
          <w:rFonts w:ascii="Arial" w:hAnsi="Arial" w:cs="Arial"/>
        </w:rPr>
        <w:br/>
      </w:r>
      <w:r w:rsidR="001A3E3B">
        <w:rPr>
          <w:rFonts w:ascii="Arial" w:hAnsi="Arial" w:cs="Arial"/>
        </w:rPr>
        <w:br/>
      </w:r>
    </w:p>
    <w:p w:rsidR="0070200D" w:rsidRDefault="00227A01" w:rsidP="00177661">
      <w:pPr>
        <w:rPr>
          <w:rFonts w:ascii="Arial" w:hAnsi="Arial" w:cs="Arial"/>
        </w:rPr>
      </w:pPr>
      <w:r w:rsidRPr="00DD3ACE">
        <w:rPr>
          <w:rFonts w:ascii="Arial" w:hAnsi="Arial" w:cs="Arial"/>
          <w:b/>
        </w:rPr>
        <w:t>System Charge – Ron Loewen</w:t>
      </w:r>
      <w:r>
        <w:rPr>
          <w:rFonts w:ascii="Arial" w:hAnsi="Arial" w:cs="Arial"/>
        </w:rPr>
        <w:br/>
      </w:r>
      <w:r w:rsidR="005D3879">
        <w:rPr>
          <w:rFonts w:ascii="Arial" w:hAnsi="Arial" w:cs="Arial"/>
        </w:rPr>
        <w:t>Additional items will be discussed in January for inclusion in FY 2014.</w:t>
      </w:r>
      <w:r w:rsidR="0070200D">
        <w:rPr>
          <w:rFonts w:ascii="Arial" w:hAnsi="Arial" w:cs="Arial"/>
        </w:rPr>
        <w:t xml:space="preserve">  Possible new costs include:</w:t>
      </w:r>
    </w:p>
    <w:p w:rsidR="0070200D" w:rsidRDefault="0070200D" w:rsidP="0070200D">
      <w:pPr>
        <w:pStyle w:val="ListParagraph"/>
        <w:numPr>
          <w:ilvl w:val="0"/>
          <w:numId w:val="43"/>
        </w:numPr>
        <w:rPr>
          <w:rFonts w:ascii="Arial" w:hAnsi="Arial" w:cs="Arial"/>
        </w:rPr>
      </w:pPr>
      <w:r>
        <w:rPr>
          <w:rFonts w:ascii="Arial" w:hAnsi="Arial" w:cs="Arial"/>
        </w:rPr>
        <w:t>Increment</w:t>
      </w:r>
      <w:r w:rsidR="0021341C">
        <w:rPr>
          <w:rFonts w:ascii="Arial" w:hAnsi="Arial" w:cs="Arial"/>
        </w:rPr>
        <w:t>al</w:t>
      </w:r>
      <w:r>
        <w:rPr>
          <w:rFonts w:ascii="Arial" w:hAnsi="Arial" w:cs="Arial"/>
        </w:rPr>
        <w:t xml:space="preserve"> cost of new SAP license</w:t>
      </w:r>
    </w:p>
    <w:p w:rsidR="0070200D" w:rsidRDefault="0070200D" w:rsidP="0070200D">
      <w:pPr>
        <w:pStyle w:val="ListParagraph"/>
        <w:numPr>
          <w:ilvl w:val="0"/>
          <w:numId w:val="43"/>
        </w:numPr>
        <w:rPr>
          <w:rFonts w:ascii="Arial" w:hAnsi="Arial" w:cs="Arial"/>
        </w:rPr>
      </w:pPr>
      <w:r>
        <w:rPr>
          <w:rFonts w:ascii="Arial" w:hAnsi="Arial" w:cs="Arial"/>
        </w:rPr>
        <w:t>Some IT contracts</w:t>
      </w:r>
    </w:p>
    <w:p w:rsidR="0070200D" w:rsidRDefault="0070200D" w:rsidP="0070200D">
      <w:pPr>
        <w:pStyle w:val="ListParagraph"/>
        <w:numPr>
          <w:ilvl w:val="0"/>
          <w:numId w:val="43"/>
        </w:numPr>
        <w:rPr>
          <w:rFonts w:ascii="Arial" w:hAnsi="Arial" w:cs="Arial"/>
        </w:rPr>
      </w:pPr>
      <w:r>
        <w:rPr>
          <w:rFonts w:ascii="Arial" w:hAnsi="Arial" w:cs="Arial"/>
        </w:rPr>
        <w:t>Organizational changes in system administration</w:t>
      </w:r>
    </w:p>
    <w:p w:rsidR="0070200D" w:rsidRDefault="0070200D" w:rsidP="0070200D">
      <w:pPr>
        <w:pStyle w:val="ListParagraph"/>
        <w:numPr>
          <w:ilvl w:val="0"/>
          <w:numId w:val="43"/>
        </w:numPr>
        <w:rPr>
          <w:rFonts w:ascii="Arial" w:hAnsi="Arial" w:cs="Arial"/>
        </w:rPr>
      </w:pPr>
      <w:r>
        <w:rPr>
          <w:rFonts w:ascii="Arial" w:hAnsi="Arial" w:cs="Arial"/>
        </w:rPr>
        <w:t>FY 2014 salary plans</w:t>
      </w:r>
    </w:p>
    <w:p w:rsidR="0070200D" w:rsidRDefault="0070200D" w:rsidP="0070200D">
      <w:pPr>
        <w:pStyle w:val="ListParagraph"/>
        <w:numPr>
          <w:ilvl w:val="0"/>
          <w:numId w:val="43"/>
        </w:numPr>
        <w:rPr>
          <w:rFonts w:ascii="Arial" w:hAnsi="Arial" w:cs="Arial"/>
        </w:rPr>
      </w:pPr>
      <w:r>
        <w:rPr>
          <w:rFonts w:ascii="Arial" w:hAnsi="Arial" w:cs="Arial"/>
        </w:rPr>
        <w:t>Increased UTRF support (UTRF charge, not System charge)</w:t>
      </w:r>
    </w:p>
    <w:p w:rsidR="0070200D" w:rsidRDefault="0070200D" w:rsidP="0070200D">
      <w:pPr>
        <w:pStyle w:val="ListParagraph"/>
        <w:numPr>
          <w:ilvl w:val="0"/>
          <w:numId w:val="43"/>
        </w:numPr>
        <w:rPr>
          <w:rFonts w:ascii="Arial" w:hAnsi="Arial" w:cs="Arial"/>
        </w:rPr>
      </w:pPr>
      <w:r>
        <w:rPr>
          <w:rFonts w:ascii="Arial" w:hAnsi="Arial" w:cs="Arial"/>
        </w:rPr>
        <w:t>Dashboard/Business Intelligence System</w:t>
      </w:r>
    </w:p>
    <w:p w:rsidR="0070200D" w:rsidRDefault="0070200D" w:rsidP="0070200D">
      <w:pPr>
        <w:pStyle w:val="ListParagraph"/>
        <w:numPr>
          <w:ilvl w:val="0"/>
          <w:numId w:val="43"/>
        </w:numPr>
        <w:rPr>
          <w:rFonts w:ascii="Arial" w:hAnsi="Arial" w:cs="Arial"/>
        </w:rPr>
      </w:pPr>
      <w:r>
        <w:rPr>
          <w:rFonts w:ascii="Arial" w:hAnsi="Arial" w:cs="Arial"/>
        </w:rPr>
        <w:t>Other strategic plan initiatives</w:t>
      </w:r>
    </w:p>
    <w:p w:rsidR="0070200D" w:rsidRDefault="0070200D" w:rsidP="0070200D">
      <w:pPr>
        <w:rPr>
          <w:rFonts w:ascii="Arial" w:hAnsi="Arial" w:cs="Arial"/>
        </w:rPr>
      </w:pPr>
    </w:p>
    <w:p w:rsidR="0070200D" w:rsidRDefault="0070200D" w:rsidP="0070200D">
      <w:pPr>
        <w:rPr>
          <w:rFonts w:ascii="Arial" w:hAnsi="Arial" w:cs="Arial"/>
        </w:rPr>
      </w:pPr>
      <w:r>
        <w:rPr>
          <w:rFonts w:ascii="Arial" w:hAnsi="Arial" w:cs="Arial"/>
        </w:rPr>
        <w:t>System Charge Review:</w:t>
      </w:r>
    </w:p>
    <w:p w:rsidR="0070200D" w:rsidRDefault="0070200D" w:rsidP="0070200D">
      <w:pPr>
        <w:pStyle w:val="ListParagraph"/>
        <w:numPr>
          <w:ilvl w:val="0"/>
          <w:numId w:val="44"/>
        </w:numPr>
        <w:rPr>
          <w:rFonts w:ascii="Arial" w:hAnsi="Arial" w:cs="Arial"/>
        </w:rPr>
      </w:pPr>
      <w:r>
        <w:rPr>
          <w:rFonts w:ascii="Arial" w:hAnsi="Arial" w:cs="Arial"/>
        </w:rPr>
        <w:t>Allocation Method: Cost Study vs. Simple Tax</w:t>
      </w:r>
    </w:p>
    <w:p w:rsidR="0070200D" w:rsidRDefault="0070200D" w:rsidP="0070200D">
      <w:pPr>
        <w:pStyle w:val="ListParagraph"/>
        <w:numPr>
          <w:ilvl w:val="0"/>
          <w:numId w:val="44"/>
        </w:numPr>
        <w:rPr>
          <w:rFonts w:ascii="Arial" w:hAnsi="Arial" w:cs="Arial"/>
        </w:rPr>
      </w:pPr>
      <w:r>
        <w:rPr>
          <w:rFonts w:ascii="Arial" w:hAnsi="Arial" w:cs="Arial"/>
        </w:rPr>
        <w:t>How to handle changes in overall amount</w:t>
      </w:r>
    </w:p>
    <w:p w:rsidR="0070200D" w:rsidRDefault="0070200D" w:rsidP="0070200D">
      <w:pPr>
        <w:pStyle w:val="ListParagraph"/>
        <w:numPr>
          <w:ilvl w:val="0"/>
          <w:numId w:val="44"/>
        </w:numPr>
        <w:rPr>
          <w:rFonts w:ascii="Arial" w:hAnsi="Arial" w:cs="Arial"/>
        </w:rPr>
      </w:pPr>
      <w:r>
        <w:rPr>
          <w:rFonts w:ascii="Arial" w:hAnsi="Arial" w:cs="Arial"/>
        </w:rPr>
        <w:t>How to handle reorganizations (IT, HR)</w:t>
      </w:r>
    </w:p>
    <w:p w:rsidR="0070200D" w:rsidRDefault="0070200D" w:rsidP="0070200D">
      <w:pPr>
        <w:pStyle w:val="ListParagraph"/>
        <w:numPr>
          <w:ilvl w:val="0"/>
          <w:numId w:val="44"/>
        </w:numPr>
        <w:rPr>
          <w:rFonts w:ascii="Arial" w:hAnsi="Arial" w:cs="Arial"/>
        </w:rPr>
      </w:pPr>
      <w:r>
        <w:rPr>
          <w:rFonts w:ascii="Arial" w:hAnsi="Arial" w:cs="Arial"/>
        </w:rPr>
        <w:t>Transfers for enhanced services (General Counsel, State Relations)</w:t>
      </w:r>
    </w:p>
    <w:p w:rsidR="0070200D" w:rsidRDefault="0070200D" w:rsidP="0070200D">
      <w:pPr>
        <w:pStyle w:val="ListParagraph"/>
        <w:numPr>
          <w:ilvl w:val="0"/>
          <w:numId w:val="44"/>
        </w:numPr>
        <w:rPr>
          <w:rFonts w:ascii="Arial" w:hAnsi="Arial" w:cs="Arial"/>
        </w:rPr>
      </w:pPr>
      <w:r>
        <w:rPr>
          <w:rFonts w:ascii="Arial" w:hAnsi="Arial" w:cs="Arial"/>
        </w:rPr>
        <w:t>Cost Allocation Models among campuses/institutes (HR, IT)</w:t>
      </w:r>
    </w:p>
    <w:p w:rsidR="0070200D" w:rsidRDefault="0070200D" w:rsidP="0070200D">
      <w:pPr>
        <w:pStyle w:val="ListParagraph"/>
        <w:ind w:left="1440"/>
        <w:rPr>
          <w:rFonts w:ascii="Arial" w:hAnsi="Arial" w:cs="Arial"/>
        </w:rPr>
      </w:pPr>
    </w:p>
    <w:p w:rsidR="00B77ABF" w:rsidRDefault="00B77ABF" w:rsidP="0070200D">
      <w:pPr>
        <w:pStyle w:val="ListParagraph"/>
        <w:ind w:left="1440"/>
        <w:rPr>
          <w:rFonts w:ascii="Arial" w:hAnsi="Arial" w:cs="Arial"/>
        </w:rPr>
      </w:pPr>
    </w:p>
    <w:p w:rsidR="0070200D" w:rsidRDefault="00954461" w:rsidP="0070200D">
      <w:pPr>
        <w:rPr>
          <w:rFonts w:ascii="Arial" w:hAnsi="Arial" w:cs="Arial"/>
        </w:rPr>
      </w:pPr>
      <w:r w:rsidRPr="0070200D">
        <w:rPr>
          <w:rFonts w:ascii="Arial" w:hAnsi="Arial" w:cs="Arial"/>
          <w:b/>
        </w:rPr>
        <w:t>IT Contract Cost Allocation – Ron Loewen</w:t>
      </w:r>
    </w:p>
    <w:p w:rsidR="008444F8" w:rsidRDefault="0070200D" w:rsidP="0070200D">
      <w:pPr>
        <w:rPr>
          <w:rFonts w:ascii="Arial" w:hAnsi="Arial" w:cs="Arial"/>
        </w:rPr>
      </w:pPr>
      <w:r>
        <w:rPr>
          <w:rFonts w:ascii="Arial" w:hAnsi="Arial" w:cs="Arial"/>
        </w:rPr>
        <w:t xml:space="preserve">Cost allocations for selected IT contracts currently total </w:t>
      </w:r>
      <w:r w:rsidR="008444F8">
        <w:rPr>
          <w:rFonts w:ascii="Arial" w:hAnsi="Arial" w:cs="Arial"/>
        </w:rPr>
        <w:t>$3,682,547.  This total is broken out as follows:</w:t>
      </w:r>
    </w:p>
    <w:p w:rsidR="008444F8" w:rsidRDefault="008444F8" w:rsidP="00222185">
      <w:pPr>
        <w:ind w:left="1440" w:firstLine="720"/>
        <w:rPr>
          <w:rFonts w:ascii="Arial" w:hAnsi="Arial" w:cs="Arial"/>
        </w:rPr>
      </w:pPr>
      <w:r>
        <w:rPr>
          <w:rFonts w:ascii="Arial" w:hAnsi="Arial" w:cs="Arial"/>
        </w:rPr>
        <w:t>UWA</w:t>
      </w:r>
      <w:r>
        <w:rPr>
          <w:rFonts w:ascii="Arial" w:hAnsi="Arial" w:cs="Arial"/>
        </w:rPr>
        <w:tab/>
      </w:r>
      <w:r>
        <w:rPr>
          <w:rFonts w:ascii="Arial" w:hAnsi="Arial" w:cs="Arial"/>
        </w:rPr>
        <w:tab/>
        <w:t>$2,552,619</w:t>
      </w:r>
    </w:p>
    <w:p w:rsidR="008444F8" w:rsidRDefault="008444F8" w:rsidP="00222185">
      <w:pPr>
        <w:ind w:left="1440" w:firstLine="720"/>
        <w:rPr>
          <w:rFonts w:ascii="Arial" w:hAnsi="Arial" w:cs="Arial"/>
        </w:rPr>
      </w:pPr>
      <w:r>
        <w:rPr>
          <w:rFonts w:ascii="Arial" w:hAnsi="Arial" w:cs="Arial"/>
        </w:rPr>
        <w:t>UTK</w:t>
      </w:r>
      <w:r>
        <w:rPr>
          <w:rFonts w:ascii="Arial" w:hAnsi="Arial" w:cs="Arial"/>
        </w:rPr>
        <w:tab/>
      </w:r>
      <w:r>
        <w:rPr>
          <w:rFonts w:ascii="Arial" w:hAnsi="Arial" w:cs="Arial"/>
        </w:rPr>
        <w:tab/>
        <w:t>$1,012,442</w:t>
      </w:r>
      <w:r w:rsidR="00222185">
        <w:rPr>
          <w:rFonts w:ascii="Arial" w:hAnsi="Arial" w:cs="Arial"/>
        </w:rPr>
        <w:tab/>
      </w:r>
    </w:p>
    <w:p w:rsidR="008444F8" w:rsidRDefault="008444F8" w:rsidP="00222185">
      <w:pPr>
        <w:ind w:left="1440" w:firstLine="720"/>
        <w:rPr>
          <w:rFonts w:ascii="Arial" w:hAnsi="Arial" w:cs="Arial"/>
        </w:rPr>
      </w:pPr>
      <w:r>
        <w:rPr>
          <w:rFonts w:ascii="Arial" w:hAnsi="Arial" w:cs="Arial"/>
        </w:rPr>
        <w:t>HSC</w:t>
      </w:r>
      <w:r>
        <w:rPr>
          <w:rFonts w:ascii="Arial" w:hAnsi="Arial" w:cs="Arial"/>
        </w:rPr>
        <w:tab/>
      </w:r>
      <w:r>
        <w:rPr>
          <w:rFonts w:ascii="Arial" w:hAnsi="Arial" w:cs="Arial"/>
        </w:rPr>
        <w:tab/>
        <w:t>$   105,211</w:t>
      </w:r>
    </w:p>
    <w:p w:rsidR="008444F8" w:rsidRDefault="008444F8" w:rsidP="00222185">
      <w:pPr>
        <w:ind w:left="1440" w:firstLine="720"/>
        <w:rPr>
          <w:rFonts w:ascii="Arial" w:hAnsi="Arial" w:cs="Arial"/>
        </w:rPr>
      </w:pPr>
      <w:r>
        <w:rPr>
          <w:rFonts w:ascii="Arial" w:hAnsi="Arial" w:cs="Arial"/>
        </w:rPr>
        <w:t>UTC</w:t>
      </w:r>
      <w:r>
        <w:rPr>
          <w:rFonts w:ascii="Arial" w:hAnsi="Arial" w:cs="Arial"/>
        </w:rPr>
        <w:tab/>
      </w:r>
      <w:r>
        <w:rPr>
          <w:rFonts w:ascii="Arial" w:hAnsi="Arial" w:cs="Arial"/>
        </w:rPr>
        <w:tab/>
        <w:t>$       7,547</w:t>
      </w:r>
    </w:p>
    <w:p w:rsidR="008444F8" w:rsidRDefault="008444F8" w:rsidP="00222185">
      <w:pPr>
        <w:ind w:left="1440" w:firstLine="720"/>
        <w:rPr>
          <w:rFonts w:ascii="Arial" w:hAnsi="Arial" w:cs="Arial"/>
        </w:rPr>
      </w:pPr>
      <w:r>
        <w:rPr>
          <w:rFonts w:ascii="Arial" w:hAnsi="Arial" w:cs="Arial"/>
        </w:rPr>
        <w:t>UTM</w:t>
      </w:r>
      <w:r>
        <w:rPr>
          <w:rFonts w:ascii="Arial" w:hAnsi="Arial" w:cs="Arial"/>
        </w:rPr>
        <w:tab/>
      </w:r>
      <w:r>
        <w:rPr>
          <w:rFonts w:ascii="Arial" w:hAnsi="Arial" w:cs="Arial"/>
        </w:rPr>
        <w:tab/>
        <w:t>$       4,728</w:t>
      </w:r>
    </w:p>
    <w:p w:rsidR="008444F8" w:rsidRDefault="008444F8" w:rsidP="008444F8">
      <w:pPr>
        <w:ind w:firstLine="720"/>
        <w:rPr>
          <w:rFonts w:ascii="Arial" w:hAnsi="Arial" w:cs="Arial"/>
        </w:rPr>
      </w:pPr>
    </w:p>
    <w:p w:rsidR="00222185" w:rsidRDefault="00222185" w:rsidP="008444F8">
      <w:pPr>
        <w:rPr>
          <w:rFonts w:ascii="Arial" w:hAnsi="Arial" w:cs="Arial"/>
          <w:b/>
        </w:rPr>
      </w:pPr>
    </w:p>
    <w:p w:rsidR="008444F8" w:rsidRDefault="00954461" w:rsidP="008444F8">
      <w:pPr>
        <w:rPr>
          <w:rFonts w:ascii="Arial" w:hAnsi="Arial" w:cs="Arial"/>
        </w:rPr>
      </w:pPr>
      <w:r w:rsidRPr="0070200D">
        <w:rPr>
          <w:rFonts w:ascii="Arial" w:hAnsi="Arial" w:cs="Arial"/>
          <w:b/>
        </w:rPr>
        <w:t>Dashboard Strategic Indicators – Ron Loewen</w:t>
      </w:r>
      <w:r w:rsidR="00227A01" w:rsidRPr="0070200D">
        <w:rPr>
          <w:rFonts w:ascii="Arial" w:hAnsi="Arial" w:cs="Arial"/>
        </w:rPr>
        <w:br/>
      </w:r>
      <w:r w:rsidR="00A615D8" w:rsidRPr="0070200D">
        <w:rPr>
          <w:rFonts w:ascii="Arial" w:hAnsi="Arial" w:cs="Arial"/>
        </w:rPr>
        <w:t xml:space="preserve">Proposed </w:t>
      </w:r>
      <w:r w:rsidR="008444F8">
        <w:rPr>
          <w:rFonts w:ascii="Arial" w:hAnsi="Arial" w:cs="Arial"/>
        </w:rPr>
        <w:t>f</w:t>
      </w:r>
      <w:r w:rsidR="00A615D8" w:rsidRPr="0070200D">
        <w:rPr>
          <w:rFonts w:ascii="Arial" w:hAnsi="Arial" w:cs="Arial"/>
        </w:rPr>
        <w:t xml:space="preserve">inancial </w:t>
      </w:r>
      <w:r w:rsidR="008444F8">
        <w:rPr>
          <w:rFonts w:ascii="Arial" w:hAnsi="Arial" w:cs="Arial"/>
        </w:rPr>
        <w:t>d</w:t>
      </w:r>
      <w:r w:rsidR="00A615D8" w:rsidRPr="0070200D">
        <w:rPr>
          <w:rFonts w:ascii="Arial" w:hAnsi="Arial" w:cs="Arial"/>
        </w:rPr>
        <w:t xml:space="preserve">ashboard </w:t>
      </w:r>
      <w:r w:rsidR="008444F8">
        <w:rPr>
          <w:rFonts w:ascii="Arial" w:hAnsi="Arial" w:cs="Arial"/>
        </w:rPr>
        <w:t>i</w:t>
      </w:r>
      <w:r w:rsidR="00A615D8" w:rsidRPr="0070200D">
        <w:rPr>
          <w:rFonts w:ascii="Arial" w:hAnsi="Arial" w:cs="Arial"/>
        </w:rPr>
        <w:t>ndicators</w:t>
      </w:r>
      <w:r w:rsidR="008444F8">
        <w:rPr>
          <w:rFonts w:ascii="Arial" w:hAnsi="Arial" w:cs="Arial"/>
        </w:rPr>
        <w:t xml:space="preserve"> include:</w:t>
      </w:r>
    </w:p>
    <w:p w:rsidR="008444F8" w:rsidRDefault="008444F8" w:rsidP="008444F8">
      <w:pPr>
        <w:pStyle w:val="ListParagraph"/>
        <w:numPr>
          <w:ilvl w:val="0"/>
          <w:numId w:val="45"/>
        </w:numPr>
        <w:rPr>
          <w:rFonts w:ascii="Arial" w:hAnsi="Arial" w:cs="Arial"/>
        </w:rPr>
      </w:pPr>
      <w:r>
        <w:rPr>
          <w:rFonts w:ascii="Arial" w:hAnsi="Arial" w:cs="Arial"/>
        </w:rPr>
        <w:t>Revenue Ratios:  Unrestricted current revenues from budget document; bar chart showing percent from each major source with table below showing dollar amount for each major source.  Source:  UT Budget Document</w:t>
      </w:r>
    </w:p>
    <w:p w:rsidR="008444F8" w:rsidRDefault="008444F8" w:rsidP="008444F8">
      <w:pPr>
        <w:pStyle w:val="ListParagraph"/>
        <w:numPr>
          <w:ilvl w:val="0"/>
          <w:numId w:val="45"/>
        </w:numPr>
        <w:rPr>
          <w:rFonts w:ascii="Arial" w:hAnsi="Arial" w:cs="Arial"/>
        </w:rPr>
      </w:pPr>
      <w:r>
        <w:rPr>
          <w:rFonts w:ascii="Arial" w:hAnsi="Arial" w:cs="Arial"/>
        </w:rPr>
        <w:t>Formula Unit Appropriations per Student FTE:  Unrestricted E&amp;G Appropriations per Student FTE; separate line for each campus with stimulus-related funds in different color.  Sources:  UT Budget Document and Institutional Research</w:t>
      </w:r>
    </w:p>
    <w:p w:rsidR="008444F8" w:rsidRDefault="008444F8" w:rsidP="008444F8">
      <w:pPr>
        <w:pStyle w:val="ListParagraph"/>
        <w:numPr>
          <w:ilvl w:val="0"/>
          <w:numId w:val="45"/>
        </w:numPr>
        <w:rPr>
          <w:rFonts w:ascii="Arial" w:hAnsi="Arial" w:cs="Arial"/>
        </w:rPr>
      </w:pPr>
      <w:r>
        <w:rPr>
          <w:rFonts w:ascii="Arial" w:hAnsi="Arial" w:cs="Arial"/>
        </w:rPr>
        <w:t xml:space="preserve">Expense Ratios:  Unrestricted current expenditures from THEC UT01 reports plus restricted expenditures from budget document; bar chart showing </w:t>
      </w:r>
      <w:r w:rsidR="00F22F08">
        <w:rPr>
          <w:rFonts w:ascii="Arial" w:hAnsi="Arial" w:cs="Arial"/>
        </w:rPr>
        <w:t>percent for each functional area with table below showing dollar amount for each functional area.  Sources:  THEC UT01 reports and UT Budget Document</w:t>
      </w:r>
    </w:p>
    <w:p w:rsidR="00F22F08" w:rsidRDefault="00F22F08" w:rsidP="008444F8">
      <w:pPr>
        <w:pStyle w:val="ListParagraph"/>
        <w:numPr>
          <w:ilvl w:val="0"/>
          <w:numId w:val="45"/>
        </w:numPr>
        <w:rPr>
          <w:rFonts w:ascii="Arial" w:hAnsi="Arial" w:cs="Arial"/>
        </w:rPr>
      </w:pPr>
      <w:r>
        <w:rPr>
          <w:rFonts w:ascii="Arial" w:hAnsi="Arial" w:cs="Arial"/>
        </w:rPr>
        <w:t>Formula Unit Expenditures per Student FTE:  Unrestricted E&amp;G current expenditures from THEC UT01 reports divided by Student FTEs; separate line for each campus.  Sources:  THEC UT01 reports and Institutional Research</w:t>
      </w:r>
    </w:p>
    <w:p w:rsidR="00F22F08" w:rsidRDefault="00F22F08" w:rsidP="008444F8">
      <w:pPr>
        <w:pStyle w:val="ListParagraph"/>
        <w:numPr>
          <w:ilvl w:val="0"/>
          <w:numId w:val="45"/>
        </w:numPr>
        <w:rPr>
          <w:rFonts w:ascii="Arial" w:hAnsi="Arial" w:cs="Arial"/>
        </w:rPr>
      </w:pPr>
      <w:r>
        <w:rPr>
          <w:rFonts w:ascii="Arial" w:hAnsi="Arial" w:cs="Arial"/>
        </w:rPr>
        <w:t>Net Asset Ratio:  Unallocated unrestricted E&amp;G net assets as percent of unrestricted E&amp;G expenditures and transfers.  Source:  UT Budget Document</w:t>
      </w:r>
    </w:p>
    <w:p w:rsidR="00F22F08" w:rsidRPr="008444F8" w:rsidRDefault="00F22F08" w:rsidP="00F22F08">
      <w:pPr>
        <w:pStyle w:val="ListParagraph"/>
        <w:ind w:left="1440"/>
        <w:rPr>
          <w:rFonts w:ascii="Arial" w:hAnsi="Arial" w:cs="Arial"/>
        </w:rPr>
      </w:pPr>
    </w:p>
    <w:p w:rsidR="00A615D8" w:rsidRPr="0070200D" w:rsidRDefault="00F22F08" w:rsidP="008444F8">
      <w:pPr>
        <w:rPr>
          <w:rFonts w:ascii="Arial" w:hAnsi="Arial" w:cs="Arial"/>
        </w:rPr>
      </w:pPr>
      <w:r>
        <w:rPr>
          <w:rFonts w:ascii="Arial" w:hAnsi="Arial" w:cs="Arial"/>
        </w:rPr>
        <w:t xml:space="preserve">We are </w:t>
      </w:r>
      <w:r w:rsidR="008C5AB0" w:rsidRPr="0070200D">
        <w:rPr>
          <w:rFonts w:ascii="Arial" w:hAnsi="Arial" w:cs="Arial"/>
        </w:rPr>
        <w:t>trying to get a handle on Assets and Facilities – especially capital and non-capital assets a</w:t>
      </w:r>
      <w:r>
        <w:rPr>
          <w:rFonts w:ascii="Arial" w:hAnsi="Arial" w:cs="Arial"/>
        </w:rPr>
        <w:t xml:space="preserve">nd deferred maintenance.  </w:t>
      </w:r>
      <w:r w:rsidR="008C5AB0" w:rsidRPr="0070200D">
        <w:rPr>
          <w:rFonts w:ascii="Arial" w:hAnsi="Arial" w:cs="Arial"/>
        </w:rPr>
        <w:br/>
      </w:r>
      <w:r w:rsidR="008C5AB0" w:rsidRPr="0070200D">
        <w:rPr>
          <w:rFonts w:ascii="Arial" w:hAnsi="Arial" w:cs="Arial"/>
        </w:rPr>
        <w:br/>
      </w:r>
      <w:r>
        <w:rPr>
          <w:rFonts w:ascii="Arial" w:hAnsi="Arial" w:cs="Arial"/>
        </w:rPr>
        <w:t xml:space="preserve">Everyone was asked to brainstorm ideas, as this will be discussed on the next </w:t>
      </w:r>
      <w:r w:rsidR="008C5AB0" w:rsidRPr="0070200D">
        <w:rPr>
          <w:rFonts w:ascii="Arial" w:hAnsi="Arial" w:cs="Arial"/>
        </w:rPr>
        <w:t>conference call.</w:t>
      </w:r>
    </w:p>
    <w:p w:rsidR="00222185" w:rsidRDefault="005B7A5E" w:rsidP="006236E4">
      <w:pPr>
        <w:rPr>
          <w:rFonts w:ascii="Arial" w:hAnsi="Arial" w:cs="Arial"/>
          <w:b/>
        </w:rPr>
      </w:pPr>
      <w:r>
        <w:rPr>
          <w:rFonts w:ascii="Arial" w:hAnsi="Arial" w:cs="Arial"/>
        </w:rPr>
        <w:br/>
      </w:r>
    </w:p>
    <w:p w:rsidR="00222185" w:rsidRDefault="00C829DB" w:rsidP="006236E4">
      <w:pPr>
        <w:rPr>
          <w:rFonts w:ascii="Arial" w:hAnsi="Arial" w:cs="Arial"/>
          <w:b/>
        </w:rPr>
      </w:pPr>
      <w:r w:rsidRPr="00DD3ACE">
        <w:rPr>
          <w:rFonts w:ascii="Arial" w:hAnsi="Arial" w:cs="Arial"/>
          <w:b/>
        </w:rPr>
        <w:t>Paying for Employee Uniforms – Nancy Yarbrough</w:t>
      </w:r>
      <w:r w:rsidR="0050403F">
        <w:rPr>
          <w:rFonts w:ascii="Arial" w:hAnsi="Arial" w:cs="Arial"/>
          <w:b/>
        </w:rPr>
        <w:br/>
      </w:r>
      <w:r w:rsidR="006236E4">
        <w:rPr>
          <w:rFonts w:ascii="Arial" w:hAnsi="Arial" w:cs="Arial"/>
        </w:rPr>
        <w:t xml:space="preserve">It was </w:t>
      </w:r>
      <w:r w:rsidR="008D7E1C" w:rsidRPr="008D7E1C">
        <w:rPr>
          <w:rFonts w:ascii="Arial" w:hAnsi="Arial" w:cs="Arial"/>
        </w:rPr>
        <w:t xml:space="preserve">determined that each campus </w:t>
      </w:r>
      <w:r w:rsidR="006236E4">
        <w:rPr>
          <w:rFonts w:ascii="Arial" w:hAnsi="Arial" w:cs="Arial"/>
        </w:rPr>
        <w:t>provides this service for special events, circumstances, etc.</w:t>
      </w:r>
      <w:r w:rsidR="005B7A5E">
        <w:rPr>
          <w:rFonts w:ascii="Arial" w:hAnsi="Arial" w:cs="Arial"/>
          <w:b/>
        </w:rPr>
        <w:br/>
      </w:r>
      <w:r w:rsidR="0050403F">
        <w:rPr>
          <w:rFonts w:ascii="Arial" w:hAnsi="Arial" w:cs="Arial"/>
          <w:b/>
        </w:rPr>
        <w:br/>
      </w:r>
    </w:p>
    <w:p w:rsidR="006236E4" w:rsidRDefault="00C829DB" w:rsidP="006236E4">
      <w:pPr>
        <w:rPr>
          <w:rFonts w:ascii="Arial" w:hAnsi="Arial" w:cs="Arial"/>
          <w:b/>
        </w:rPr>
      </w:pPr>
      <w:r w:rsidRPr="005D3879">
        <w:rPr>
          <w:rFonts w:ascii="Arial" w:hAnsi="Arial" w:cs="Arial"/>
          <w:b/>
        </w:rPr>
        <w:t>Accounting for Out-of-State Waivers – Nancy Yarbrough</w:t>
      </w:r>
      <w:r w:rsidR="0050403F">
        <w:rPr>
          <w:rFonts w:ascii="Arial" w:hAnsi="Arial" w:cs="Arial"/>
          <w:b/>
        </w:rPr>
        <w:br/>
      </w:r>
      <w:r w:rsidR="008D7E1C">
        <w:rPr>
          <w:rFonts w:ascii="Arial" w:hAnsi="Arial" w:cs="Arial"/>
        </w:rPr>
        <w:t>Campuses are still considering how to account for out-of-state waivers</w:t>
      </w:r>
      <w:r w:rsidR="008D7E1C">
        <w:rPr>
          <w:rFonts w:ascii="Arial" w:hAnsi="Arial" w:cs="Arial"/>
        </w:rPr>
        <w:br/>
      </w:r>
    </w:p>
    <w:p w:rsidR="00222185" w:rsidRDefault="00222185" w:rsidP="006236E4">
      <w:pPr>
        <w:pStyle w:val="ListParagraph"/>
        <w:rPr>
          <w:rFonts w:ascii="Arial" w:hAnsi="Arial" w:cs="Arial"/>
          <w:b/>
        </w:rPr>
      </w:pPr>
    </w:p>
    <w:p w:rsidR="00316497" w:rsidRDefault="00682CB9" w:rsidP="006236E4">
      <w:pPr>
        <w:pStyle w:val="ListParagraph"/>
        <w:rPr>
          <w:rFonts w:ascii="Arial" w:hAnsi="Arial" w:cs="Arial"/>
        </w:rPr>
      </w:pPr>
      <w:r w:rsidRPr="006236E4">
        <w:rPr>
          <w:rFonts w:ascii="Arial" w:hAnsi="Arial" w:cs="Arial"/>
          <w:b/>
        </w:rPr>
        <w:t xml:space="preserve">State Insurance </w:t>
      </w:r>
      <w:r w:rsidR="009D08E1" w:rsidRPr="006236E4">
        <w:rPr>
          <w:rFonts w:ascii="Arial" w:hAnsi="Arial" w:cs="Arial"/>
          <w:b/>
        </w:rPr>
        <w:t>U</w:t>
      </w:r>
      <w:r w:rsidRPr="006236E4">
        <w:rPr>
          <w:rFonts w:ascii="Arial" w:hAnsi="Arial" w:cs="Arial"/>
          <w:b/>
        </w:rPr>
        <w:t>pdate – Laurie Lee, Director of Benefits Administration</w:t>
      </w:r>
      <w:r w:rsidR="00177661" w:rsidRPr="006236E4">
        <w:rPr>
          <w:rFonts w:ascii="Arial" w:hAnsi="Arial" w:cs="Arial"/>
          <w:b/>
        </w:rPr>
        <w:br/>
      </w:r>
      <w:r w:rsidR="004A43D9">
        <w:rPr>
          <w:rFonts w:ascii="Arial" w:hAnsi="Arial" w:cs="Arial"/>
        </w:rPr>
        <w:t>Laurie pointed out t</w:t>
      </w:r>
      <w:r w:rsidR="00316497">
        <w:rPr>
          <w:rFonts w:ascii="Arial" w:hAnsi="Arial" w:cs="Arial"/>
        </w:rPr>
        <w:t>hat the state’s insurance plan is self-funded.  One of the</w:t>
      </w:r>
      <w:r w:rsidR="004A43D9">
        <w:rPr>
          <w:rFonts w:ascii="Arial" w:hAnsi="Arial" w:cs="Arial"/>
        </w:rPr>
        <w:t xml:space="preserve"> </w:t>
      </w:r>
      <w:r w:rsidR="00316497">
        <w:rPr>
          <w:rFonts w:ascii="Arial" w:hAnsi="Arial" w:cs="Arial"/>
        </w:rPr>
        <w:t xml:space="preserve">greatest challenges </w:t>
      </w:r>
      <w:r w:rsidR="004A43D9">
        <w:rPr>
          <w:rFonts w:ascii="Arial" w:hAnsi="Arial" w:cs="Arial"/>
        </w:rPr>
        <w:t xml:space="preserve">of the plan </w:t>
      </w:r>
      <w:r w:rsidR="00316497">
        <w:rPr>
          <w:rFonts w:ascii="Arial" w:hAnsi="Arial" w:cs="Arial"/>
        </w:rPr>
        <w:t xml:space="preserve">is individuals with chronic diseases.  Currently, employees </w:t>
      </w:r>
      <w:r w:rsidR="004A43D9">
        <w:rPr>
          <w:rFonts w:ascii="Arial" w:hAnsi="Arial" w:cs="Arial"/>
        </w:rPr>
        <w:t xml:space="preserve">may </w:t>
      </w:r>
      <w:r w:rsidR="00316497">
        <w:rPr>
          <w:rFonts w:ascii="Arial" w:hAnsi="Arial" w:cs="Arial"/>
        </w:rPr>
        <w:t>choose either a partnership or standard plan.  Most retirees choose the standard plan.</w:t>
      </w:r>
    </w:p>
    <w:p w:rsidR="00316497" w:rsidRDefault="00316497" w:rsidP="006236E4">
      <w:pPr>
        <w:pStyle w:val="ListParagraph"/>
        <w:rPr>
          <w:rFonts w:ascii="Arial" w:hAnsi="Arial" w:cs="Arial"/>
        </w:rPr>
      </w:pPr>
    </w:p>
    <w:p w:rsidR="00316497" w:rsidRPr="006236E4" w:rsidRDefault="00316497" w:rsidP="00316497">
      <w:pPr>
        <w:pStyle w:val="ListParagraph"/>
        <w:rPr>
          <w:rFonts w:ascii="Arial" w:hAnsi="Arial" w:cs="Arial"/>
        </w:rPr>
      </w:pPr>
      <w:r>
        <w:rPr>
          <w:rFonts w:ascii="Arial" w:hAnsi="Arial" w:cs="Arial"/>
        </w:rPr>
        <w:t xml:space="preserve">A vision plan will be offered in 2013; however, employees must sign up using the self-service website. </w:t>
      </w:r>
    </w:p>
    <w:p w:rsidR="003D3725" w:rsidRDefault="00BF3F94" w:rsidP="004A43D9">
      <w:pPr>
        <w:rPr>
          <w:rFonts w:ascii="Arial" w:hAnsi="Arial" w:cs="Arial"/>
        </w:rPr>
      </w:pPr>
      <w:r w:rsidRPr="00316497">
        <w:rPr>
          <w:rFonts w:ascii="Arial" w:hAnsi="Arial" w:cs="Arial"/>
        </w:rPr>
        <w:br/>
        <w:t>I</w:t>
      </w:r>
      <w:r w:rsidR="00316497">
        <w:rPr>
          <w:rFonts w:ascii="Arial" w:hAnsi="Arial" w:cs="Arial"/>
        </w:rPr>
        <w:t>t was also mentioned that i</w:t>
      </w:r>
      <w:r w:rsidRPr="00316497">
        <w:rPr>
          <w:rFonts w:ascii="Arial" w:hAnsi="Arial" w:cs="Arial"/>
        </w:rPr>
        <w:t xml:space="preserve">f a student health clinic is set up as a provider through Cigna </w:t>
      </w:r>
      <w:r w:rsidR="00316497">
        <w:rPr>
          <w:rFonts w:ascii="Arial" w:hAnsi="Arial" w:cs="Arial"/>
        </w:rPr>
        <w:t>or</w:t>
      </w:r>
      <w:r w:rsidRPr="00316497">
        <w:rPr>
          <w:rFonts w:ascii="Arial" w:hAnsi="Arial" w:cs="Arial"/>
        </w:rPr>
        <w:t xml:space="preserve"> Blue Cross, then payment could be made to the clinic for services.</w:t>
      </w:r>
      <w:r w:rsidR="004E7036" w:rsidRPr="00316497">
        <w:rPr>
          <w:rFonts w:ascii="Arial" w:hAnsi="Arial" w:cs="Arial"/>
        </w:rPr>
        <w:t xml:space="preserve">  Butch suggested that Mark take the lead to meet with Laurie and her staff to determine available options.  </w:t>
      </w:r>
    </w:p>
    <w:p w:rsidR="004A43D9" w:rsidRDefault="004A43D9" w:rsidP="004A43D9">
      <w:pPr>
        <w:rPr>
          <w:rFonts w:ascii="Arial" w:hAnsi="Arial" w:cs="Arial"/>
        </w:rPr>
      </w:pPr>
    </w:p>
    <w:p w:rsidR="006236E4" w:rsidRPr="006236E4" w:rsidRDefault="004A43D9" w:rsidP="006236E4">
      <w:pPr>
        <w:rPr>
          <w:rFonts w:ascii="Arial" w:hAnsi="Arial" w:cs="Arial"/>
          <w:b/>
        </w:rPr>
      </w:pPr>
      <w:r>
        <w:rPr>
          <w:rFonts w:ascii="Arial" w:hAnsi="Arial" w:cs="Arial"/>
          <w:b/>
        </w:rPr>
        <w:br/>
      </w:r>
      <w:r w:rsidR="006236E4" w:rsidRPr="006236E4">
        <w:rPr>
          <w:rFonts w:ascii="Arial" w:hAnsi="Arial" w:cs="Arial"/>
          <w:b/>
        </w:rPr>
        <w:t xml:space="preserve">Items to be covered </w:t>
      </w:r>
      <w:r w:rsidR="006236E4">
        <w:rPr>
          <w:rFonts w:ascii="Arial" w:hAnsi="Arial" w:cs="Arial"/>
          <w:b/>
        </w:rPr>
        <w:t>on</w:t>
      </w:r>
      <w:r w:rsidR="006236E4" w:rsidRPr="006236E4">
        <w:rPr>
          <w:rFonts w:ascii="Arial" w:hAnsi="Arial" w:cs="Arial"/>
          <w:b/>
        </w:rPr>
        <w:t xml:space="preserve"> the next CBO conference call:</w:t>
      </w:r>
    </w:p>
    <w:p w:rsidR="006236E4" w:rsidRDefault="006236E4" w:rsidP="006236E4">
      <w:pPr>
        <w:pStyle w:val="ListParagraph"/>
        <w:numPr>
          <w:ilvl w:val="0"/>
          <w:numId w:val="39"/>
        </w:numPr>
        <w:rPr>
          <w:rFonts w:ascii="Arial" w:hAnsi="Arial" w:cs="Arial"/>
        </w:rPr>
      </w:pPr>
      <w:r>
        <w:rPr>
          <w:rFonts w:ascii="Arial" w:hAnsi="Arial" w:cs="Arial"/>
        </w:rPr>
        <w:t>CAB Update – Richard Brown</w:t>
      </w:r>
    </w:p>
    <w:p w:rsidR="006236E4" w:rsidRPr="006236E4" w:rsidRDefault="006236E4" w:rsidP="006236E4">
      <w:pPr>
        <w:pStyle w:val="ListParagraph"/>
        <w:numPr>
          <w:ilvl w:val="0"/>
          <w:numId w:val="39"/>
        </w:numPr>
        <w:rPr>
          <w:rFonts w:ascii="Arial" w:hAnsi="Arial" w:cs="Arial"/>
        </w:rPr>
      </w:pPr>
      <w:r w:rsidRPr="006236E4">
        <w:rPr>
          <w:rFonts w:ascii="Arial" w:hAnsi="Arial" w:cs="Arial"/>
        </w:rPr>
        <w:t>Conflict of Interest Policy – Ron Maples</w:t>
      </w:r>
    </w:p>
    <w:p w:rsidR="006236E4" w:rsidRPr="006236E4" w:rsidRDefault="006236E4" w:rsidP="006236E4">
      <w:pPr>
        <w:pStyle w:val="ListParagraph"/>
        <w:numPr>
          <w:ilvl w:val="0"/>
          <w:numId w:val="39"/>
        </w:numPr>
        <w:rPr>
          <w:rFonts w:ascii="Arial" w:hAnsi="Arial" w:cs="Arial"/>
        </w:rPr>
      </w:pPr>
      <w:r w:rsidRPr="006236E4">
        <w:rPr>
          <w:rFonts w:ascii="Arial" w:hAnsi="Arial" w:cs="Arial"/>
        </w:rPr>
        <w:t>Fiscal Policy Update – Ron Maples</w:t>
      </w:r>
      <w:r w:rsidR="00A864D9">
        <w:rPr>
          <w:rFonts w:ascii="Arial" w:hAnsi="Arial" w:cs="Arial"/>
        </w:rPr>
        <w:t xml:space="preserve"> email sent after meeting</w:t>
      </w:r>
    </w:p>
    <w:p w:rsidR="006236E4" w:rsidRPr="006236E4" w:rsidRDefault="006236E4" w:rsidP="006236E4">
      <w:pPr>
        <w:pStyle w:val="ListParagraph"/>
        <w:numPr>
          <w:ilvl w:val="0"/>
          <w:numId w:val="39"/>
        </w:numPr>
        <w:rPr>
          <w:rFonts w:ascii="Arial" w:hAnsi="Arial" w:cs="Arial"/>
        </w:rPr>
      </w:pPr>
      <w:r w:rsidRPr="006236E4">
        <w:rPr>
          <w:rFonts w:ascii="Arial" w:hAnsi="Arial" w:cs="Arial"/>
        </w:rPr>
        <w:t xml:space="preserve">Effort Certification Internal Audit Report – Ron Maples </w:t>
      </w:r>
      <w:r w:rsidR="00A864D9">
        <w:rPr>
          <w:rFonts w:ascii="Arial" w:hAnsi="Arial" w:cs="Arial"/>
        </w:rPr>
        <w:t>– e mail sent after meeting</w:t>
      </w:r>
    </w:p>
    <w:p w:rsidR="006236E4" w:rsidRPr="006236E4" w:rsidRDefault="006236E4" w:rsidP="006236E4">
      <w:pPr>
        <w:pStyle w:val="ListParagraph"/>
        <w:numPr>
          <w:ilvl w:val="0"/>
          <w:numId w:val="39"/>
        </w:numPr>
        <w:rPr>
          <w:rFonts w:ascii="Arial" w:hAnsi="Arial" w:cs="Arial"/>
        </w:rPr>
      </w:pPr>
      <w:r w:rsidRPr="006236E4">
        <w:rPr>
          <w:rFonts w:ascii="Arial" w:hAnsi="Arial" w:cs="Arial"/>
        </w:rPr>
        <w:t>State Audit Update – Ron Maples</w:t>
      </w:r>
    </w:p>
    <w:p w:rsidR="006236E4" w:rsidRDefault="006236E4" w:rsidP="004D5EB1">
      <w:pPr>
        <w:ind w:left="540"/>
        <w:rPr>
          <w:rFonts w:ascii="Arial" w:hAnsi="Arial" w:cs="Arial"/>
        </w:rPr>
      </w:pPr>
    </w:p>
    <w:p w:rsidR="006236E4" w:rsidRDefault="006236E4" w:rsidP="004D5EB1">
      <w:pPr>
        <w:ind w:left="540"/>
        <w:rPr>
          <w:rFonts w:ascii="Arial" w:hAnsi="Arial" w:cs="Arial"/>
        </w:rPr>
      </w:pPr>
    </w:p>
    <w:p w:rsidR="003D3725" w:rsidRPr="0054053A" w:rsidRDefault="003D3725" w:rsidP="001F48F7">
      <w:pPr>
        <w:rPr>
          <w:rFonts w:ascii="Arial" w:hAnsi="Arial" w:cs="Arial"/>
        </w:rPr>
      </w:pPr>
      <w:r w:rsidRPr="0054053A">
        <w:rPr>
          <w:rFonts w:ascii="Arial" w:hAnsi="Arial" w:cs="Arial"/>
          <w:b/>
          <w:u w:val="single"/>
        </w:rPr>
        <w:t>ANNOUNCEMENT OF 2013 MEETING DATES</w:t>
      </w:r>
      <w:r w:rsidR="006236E4">
        <w:rPr>
          <w:rFonts w:ascii="Arial" w:hAnsi="Arial" w:cs="Arial"/>
        </w:rPr>
        <w:br/>
        <w:t>January 23-24, 2013</w:t>
      </w:r>
      <w:r w:rsidRPr="0054053A">
        <w:rPr>
          <w:rFonts w:ascii="Arial" w:hAnsi="Arial" w:cs="Arial"/>
        </w:rPr>
        <w:tab/>
        <w:t>Nashville</w:t>
      </w:r>
    </w:p>
    <w:p w:rsidR="003D3725" w:rsidRPr="0054053A" w:rsidRDefault="003D3725" w:rsidP="001F48F7">
      <w:pPr>
        <w:rPr>
          <w:rFonts w:ascii="Arial" w:hAnsi="Arial" w:cs="Arial"/>
        </w:rPr>
      </w:pPr>
      <w:r w:rsidRPr="0054053A">
        <w:rPr>
          <w:rFonts w:ascii="Arial" w:hAnsi="Arial" w:cs="Arial"/>
        </w:rPr>
        <w:t>May 29</w:t>
      </w:r>
      <w:r w:rsidR="006236E4">
        <w:rPr>
          <w:rFonts w:ascii="Arial" w:hAnsi="Arial" w:cs="Arial"/>
        </w:rPr>
        <w:t>-30, 2013</w:t>
      </w:r>
      <w:r w:rsidR="006236E4">
        <w:rPr>
          <w:rFonts w:ascii="Arial" w:hAnsi="Arial" w:cs="Arial"/>
        </w:rPr>
        <w:tab/>
      </w:r>
      <w:r w:rsidR="006236E4">
        <w:rPr>
          <w:rFonts w:ascii="Arial" w:hAnsi="Arial" w:cs="Arial"/>
        </w:rPr>
        <w:tab/>
      </w:r>
      <w:r w:rsidRPr="0054053A">
        <w:rPr>
          <w:rFonts w:ascii="Arial" w:hAnsi="Arial" w:cs="Arial"/>
        </w:rPr>
        <w:t>Knoxville</w:t>
      </w:r>
    </w:p>
    <w:p w:rsidR="006236E4" w:rsidRDefault="006236E4" w:rsidP="001F48F7">
      <w:pPr>
        <w:rPr>
          <w:rFonts w:ascii="Arial" w:hAnsi="Arial" w:cs="Arial"/>
        </w:rPr>
      </w:pPr>
      <w:r>
        <w:rPr>
          <w:rFonts w:ascii="Arial" w:hAnsi="Arial" w:cs="Arial"/>
        </w:rPr>
        <w:t>September 18-19, 2013</w:t>
      </w:r>
      <w:r>
        <w:rPr>
          <w:rFonts w:ascii="Arial" w:hAnsi="Arial" w:cs="Arial"/>
        </w:rPr>
        <w:tab/>
      </w:r>
      <w:r w:rsidR="003D3725" w:rsidRPr="0054053A">
        <w:rPr>
          <w:rFonts w:ascii="Arial" w:hAnsi="Arial" w:cs="Arial"/>
        </w:rPr>
        <w:t>Knoxville</w:t>
      </w:r>
    </w:p>
    <w:p w:rsidR="003D3725" w:rsidRPr="0054053A" w:rsidRDefault="003D3725" w:rsidP="001F48F7">
      <w:pPr>
        <w:rPr>
          <w:rFonts w:ascii="Arial" w:hAnsi="Arial" w:cs="Arial"/>
        </w:rPr>
      </w:pPr>
      <w:r w:rsidRPr="0054053A">
        <w:rPr>
          <w:rFonts w:ascii="Arial" w:hAnsi="Arial" w:cs="Arial"/>
        </w:rPr>
        <w:br/>
      </w:r>
      <w:r w:rsidRPr="0054053A">
        <w:rPr>
          <w:rFonts w:ascii="Arial" w:hAnsi="Arial" w:cs="Arial"/>
        </w:rPr>
        <w:tab/>
      </w:r>
      <w:r w:rsidRPr="0054053A">
        <w:rPr>
          <w:rFonts w:ascii="Arial" w:hAnsi="Arial" w:cs="Arial"/>
        </w:rPr>
        <w:tab/>
      </w:r>
      <w:r w:rsidRPr="0054053A">
        <w:rPr>
          <w:rFonts w:ascii="Arial" w:hAnsi="Arial" w:cs="Arial"/>
        </w:rPr>
        <w:tab/>
      </w:r>
      <w:r w:rsidRPr="0054053A">
        <w:rPr>
          <w:rFonts w:ascii="Arial" w:hAnsi="Arial" w:cs="Arial"/>
        </w:rPr>
        <w:tab/>
      </w:r>
    </w:p>
    <w:p w:rsidR="009D08E1" w:rsidRPr="00C829DB" w:rsidRDefault="009D08E1" w:rsidP="001F48F7">
      <w:pPr>
        <w:rPr>
          <w:rFonts w:ascii="Arial" w:hAnsi="Arial" w:cs="Arial"/>
        </w:rPr>
      </w:pPr>
    </w:p>
    <w:sectPr w:rsidR="009D08E1" w:rsidRPr="00C829DB" w:rsidSect="00B77ABF">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FD8" w:rsidRDefault="008E6FD8" w:rsidP="00000C26">
      <w:r>
        <w:separator/>
      </w:r>
    </w:p>
  </w:endnote>
  <w:endnote w:type="continuationSeparator" w:id="0">
    <w:p w:rsidR="008E6FD8" w:rsidRDefault="008E6FD8" w:rsidP="00000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BF" w:rsidRDefault="00B77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FD8" w:rsidRDefault="008E6FD8" w:rsidP="00000C26">
      <w:r>
        <w:separator/>
      </w:r>
    </w:p>
  </w:footnote>
  <w:footnote w:type="continuationSeparator" w:id="0">
    <w:p w:rsidR="008E6FD8" w:rsidRDefault="008E6FD8" w:rsidP="00000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00B464A"/>
    <w:multiLevelType w:val="hybridMultilevel"/>
    <w:tmpl w:val="B178C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BC2C15"/>
    <w:multiLevelType w:val="hybridMultilevel"/>
    <w:tmpl w:val="AFD2BCC2"/>
    <w:lvl w:ilvl="0" w:tplc="DD62B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7A7300B"/>
    <w:multiLevelType w:val="hybridMultilevel"/>
    <w:tmpl w:val="C2F6C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9A3732F"/>
    <w:multiLevelType w:val="hybridMultilevel"/>
    <w:tmpl w:val="A14A0BF2"/>
    <w:lvl w:ilvl="0" w:tplc="1DCC7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A1A3943"/>
    <w:multiLevelType w:val="hybridMultilevel"/>
    <w:tmpl w:val="0F129D4E"/>
    <w:lvl w:ilvl="0" w:tplc="16E6FBBA">
      <w:numFmt w:val="bullet"/>
      <w:lvlText w:val="–"/>
      <w:lvlJc w:val="left"/>
      <w:pPr>
        <w:ind w:left="3150" w:hanging="930"/>
      </w:pPr>
      <w:rPr>
        <w:rFonts w:ascii="Arial" w:eastAsia="Times New Roman" w:hAnsi="Arial" w:cs="Aria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A447F3A"/>
    <w:multiLevelType w:val="multilevel"/>
    <w:tmpl w:val="63A4F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0717FD7"/>
    <w:multiLevelType w:val="hybridMultilevel"/>
    <w:tmpl w:val="C1EC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70012E"/>
    <w:multiLevelType w:val="hybridMultilevel"/>
    <w:tmpl w:val="D51AD9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3023BE"/>
    <w:multiLevelType w:val="hybridMultilevel"/>
    <w:tmpl w:val="E1089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E2E091F"/>
    <w:multiLevelType w:val="hybridMultilevel"/>
    <w:tmpl w:val="3438A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FE66098"/>
    <w:multiLevelType w:val="hybridMultilevel"/>
    <w:tmpl w:val="D05C1A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93342B1"/>
    <w:multiLevelType w:val="hybridMultilevel"/>
    <w:tmpl w:val="8004B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C173AC0"/>
    <w:multiLevelType w:val="hybridMultilevel"/>
    <w:tmpl w:val="31B43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9E24672"/>
    <w:multiLevelType w:val="hybridMultilevel"/>
    <w:tmpl w:val="8132C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DA22E69"/>
    <w:multiLevelType w:val="hybridMultilevel"/>
    <w:tmpl w:val="FD846A78"/>
    <w:lvl w:ilvl="0" w:tplc="E1B47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3B420EF"/>
    <w:multiLevelType w:val="hybridMultilevel"/>
    <w:tmpl w:val="5C56D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4A65696"/>
    <w:multiLevelType w:val="hybridMultilevel"/>
    <w:tmpl w:val="023E6BD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3">
    <w:nsid w:val="454D58E3"/>
    <w:multiLevelType w:val="hybridMultilevel"/>
    <w:tmpl w:val="9D80CD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72E5041"/>
    <w:multiLevelType w:val="hybridMultilevel"/>
    <w:tmpl w:val="0C882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637B27"/>
    <w:multiLevelType w:val="hybridMultilevel"/>
    <w:tmpl w:val="CC74F5C6"/>
    <w:lvl w:ilvl="0" w:tplc="16E6FBBA">
      <w:numFmt w:val="bullet"/>
      <w:lvlText w:val="–"/>
      <w:lvlJc w:val="left"/>
      <w:pPr>
        <w:ind w:left="3150" w:hanging="93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B2A2E1A"/>
    <w:multiLevelType w:val="hybridMultilevel"/>
    <w:tmpl w:val="BC5A5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772F07"/>
    <w:multiLevelType w:val="hybridMultilevel"/>
    <w:tmpl w:val="DB12F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C42946"/>
    <w:multiLevelType w:val="hybridMultilevel"/>
    <w:tmpl w:val="17F8D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9D6D3A"/>
    <w:multiLevelType w:val="hybridMultilevel"/>
    <w:tmpl w:val="466876B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9525FF"/>
    <w:multiLevelType w:val="hybridMultilevel"/>
    <w:tmpl w:val="DCCAEA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3B650A4"/>
    <w:multiLevelType w:val="hybridMultilevel"/>
    <w:tmpl w:val="C192A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5304AB"/>
    <w:multiLevelType w:val="hybridMultilevel"/>
    <w:tmpl w:val="75E2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B77FD3"/>
    <w:multiLevelType w:val="hybridMultilevel"/>
    <w:tmpl w:val="15920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DBA0975"/>
    <w:multiLevelType w:val="hybridMultilevel"/>
    <w:tmpl w:val="AD484550"/>
    <w:lvl w:ilvl="0" w:tplc="16E6FBBA">
      <w:numFmt w:val="bullet"/>
      <w:lvlText w:val="–"/>
      <w:lvlJc w:val="left"/>
      <w:pPr>
        <w:ind w:left="2430" w:hanging="930"/>
      </w:pPr>
      <w:rPr>
        <w:rFonts w:ascii="Arial" w:eastAsia="Times New Roma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8">
    <w:nsid w:val="7F5D597E"/>
    <w:multiLevelType w:val="hybridMultilevel"/>
    <w:tmpl w:val="F8BCC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23"/>
  </w:num>
  <w:num w:numId="3">
    <w:abstractNumId w:val="27"/>
  </w:num>
  <w:num w:numId="4">
    <w:abstractNumId w:val="17"/>
  </w:num>
  <w:num w:numId="5">
    <w:abstractNumId w:val="43"/>
  </w:num>
  <w:num w:numId="6">
    <w:abstractNumId w:val="12"/>
  </w:num>
  <w:num w:numId="7">
    <w:abstractNumId w:val="37"/>
  </w:num>
  <w:num w:numId="8">
    <w:abstractNumId w:val="28"/>
  </w:num>
  <w:num w:numId="9">
    <w:abstractNumId w:val="9"/>
  </w:num>
  <w:num w:numId="10">
    <w:abstractNumId w:val="7"/>
  </w:num>
  <w:num w:numId="11">
    <w:abstractNumId w:val="6"/>
  </w:num>
  <w:num w:numId="12">
    <w:abstractNumId w:val="3"/>
  </w:num>
  <w:num w:numId="13">
    <w:abstractNumId w:val="2"/>
  </w:num>
  <w:num w:numId="14">
    <w:abstractNumId w:val="1"/>
  </w:num>
  <w:num w:numId="15">
    <w:abstractNumId w:val="2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18"/>
  </w:num>
  <w:num w:numId="22">
    <w:abstractNumId w:val="22"/>
  </w:num>
  <w:num w:numId="23">
    <w:abstractNumId w:val="40"/>
  </w:num>
  <w:num w:numId="24">
    <w:abstractNumId w:val="26"/>
  </w:num>
  <w:num w:numId="25">
    <w:abstractNumId w:val="45"/>
  </w:num>
  <w:num w:numId="26">
    <w:abstractNumId w:val="10"/>
  </w:num>
  <w:num w:numId="27">
    <w:abstractNumId w:val="14"/>
  </w:num>
  <w:num w:numId="28">
    <w:abstractNumId w:val="11"/>
  </w:num>
  <w:num w:numId="29">
    <w:abstractNumId w:val="30"/>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8"/>
  </w:num>
  <w:num w:numId="33">
    <w:abstractNumId w:val="44"/>
  </w:num>
  <w:num w:numId="34">
    <w:abstractNumId w:val="29"/>
  </w:num>
  <w:num w:numId="35">
    <w:abstractNumId w:val="36"/>
  </w:num>
  <w:num w:numId="36">
    <w:abstractNumId w:val="42"/>
  </w:num>
  <w:num w:numId="37">
    <w:abstractNumId w:val="31"/>
  </w:num>
  <w:num w:numId="38">
    <w:abstractNumId w:val="13"/>
  </w:num>
  <w:num w:numId="39">
    <w:abstractNumId w:val="48"/>
  </w:num>
  <w:num w:numId="40">
    <w:abstractNumId w:val="46"/>
  </w:num>
  <w:num w:numId="41">
    <w:abstractNumId w:val="34"/>
  </w:num>
  <w:num w:numId="42">
    <w:abstractNumId w:val="33"/>
  </w:num>
  <w:num w:numId="43">
    <w:abstractNumId w:val="25"/>
  </w:num>
  <w:num w:numId="44">
    <w:abstractNumId w:val="21"/>
  </w:num>
  <w:num w:numId="45">
    <w:abstractNumId w:val="20"/>
  </w:num>
  <w:num w:numId="46">
    <w:abstractNumId w:val="39"/>
  </w:num>
  <w:num w:numId="47">
    <w:abstractNumId w:val="32"/>
  </w:num>
  <w:num w:numId="48">
    <w:abstractNumId w:val="47"/>
  </w:num>
  <w:num w:numId="49">
    <w:abstractNumId w:val="35"/>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10241">
      <o:colormru v:ext="edit" colors="teal"/>
    </o:shapedefaults>
  </w:hdrShapeDefaults>
  <w:footnotePr>
    <w:footnote w:id="-1"/>
    <w:footnote w:id="0"/>
  </w:footnotePr>
  <w:endnotePr>
    <w:endnote w:id="-1"/>
    <w:endnote w:id="0"/>
  </w:endnotePr>
  <w:compat/>
  <w:rsids>
    <w:rsidRoot w:val="00F3638F"/>
    <w:rsid w:val="00000A82"/>
    <w:rsid w:val="00000C26"/>
    <w:rsid w:val="00000E9D"/>
    <w:rsid w:val="000034F2"/>
    <w:rsid w:val="000069D0"/>
    <w:rsid w:val="00014A0A"/>
    <w:rsid w:val="00020123"/>
    <w:rsid w:val="00026417"/>
    <w:rsid w:val="00026DF9"/>
    <w:rsid w:val="000279D8"/>
    <w:rsid w:val="0003715C"/>
    <w:rsid w:val="00040C8E"/>
    <w:rsid w:val="000469E9"/>
    <w:rsid w:val="00062441"/>
    <w:rsid w:val="00062D32"/>
    <w:rsid w:val="00065C2C"/>
    <w:rsid w:val="0007256F"/>
    <w:rsid w:val="00074559"/>
    <w:rsid w:val="000746C1"/>
    <w:rsid w:val="00075F9D"/>
    <w:rsid w:val="000769A1"/>
    <w:rsid w:val="00091D59"/>
    <w:rsid w:val="00094E45"/>
    <w:rsid w:val="00095C05"/>
    <w:rsid w:val="000A5708"/>
    <w:rsid w:val="000A6963"/>
    <w:rsid w:val="000B317C"/>
    <w:rsid w:val="000B7CB6"/>
    <w:rsid w:val="000C1858"/>
    <w:rsid w:val="000C7EB2"/>
    <w:rsid w:val="000D020E"/>
    <w:rsid w:val="000D2948"/>
    <w:rsid w:val="000D4BF4"/>
    <w:rsid w:val="000E2FAD"/>
    <w:rsid w:val="000F37A8"/>
    <w:rsid w:val="000F7151"/>
    <w:rsid w:val="000F7813"/>
    <w:rsid w:val="00101838"/>
    <w:rsid w:val="00102243"/>
    <w:rsid w:val="00112547"/>
    <w:rsid w:val="001254E0"/>
    <w:rsid w:val="00125E10"/>
    <w:rsid w:val="00130C8D"/>
    <w:rsid w:val="00132314"/>
    <w:rsid w:val="0013389D"/>
    <w:rsid w:val="00140DAE"/>
    <w:rsid w:val="001423A6"/>
    <w:rsid w:val="0015180F"/>
    <w:rsid w:val="001529E8"/>
    <w:rsid w:val="0015682F"/>
    <w:rsid w:val="001613EE"/>
    <w:rsid w:val="00173F60"/>
    <w:rsid w:val="00176CA9"/>
    <w:rsid w:val="00177661"/>
    <w:rsid w:val="00180048"/>
    <w:rsid w:val="001816D5"/>
    <w:rsid w:val="00182BBB"/>
    <w:rsid w:val="001852E0"/>
    <w:rsid w:val="0019110A"/>
    <w:rsid w:val="00193653"/>
    <w:rsid w:val="001952E6"/>
    <w:rsid w:val="001A01E8"/>
    <w:rsid w:val="001A3E3B"/>
    <w:rsid w:val="001A4CB0"/>
    <w:rsid w:val="001B4D8E"/>
    <w:rsid w:val="001B4FA2"/>
    <w:rsid w:val="001E2820"/>
    <w:rsid w:val="001E74B9"/>
    <w:rsid w:val="001F48F7"/>
    <w:rsid w:val="002063BF"/>
    <w:rsid w:val="0021341C"/>
    <w:rsid w:val="0021579B"/>
    <w:rsid w:val="00222185"/>
    <w:rsid w:val="00227A01"/>
    <w:rsid w:val="002355A1"/>
    <w:rsid w:val="002356F0"/>
    <w:rsid w:val="00245F19"/>
    <w:rsid w:val="002552BB"/>
    <w:rsid w:val="00257E14"/>
    <w:rsid w:val="002761C5"/>
    <w:rsid w:val="002849EE"/>
    <w:rsid w:val="0029212C"/>
    <w:rsid w:val="002966F0"/>
    <w:rsid w:val="00297C1F"/>
    <w:rsid w:val="002A78DB"/>
    <w:rsid w:val="002C3DE4"/>
    <w:rsid w:val="002D0AA5"/>
    <w:rsid w:val="002D7EFE"/>
    <w:rsid w:val="002F0570"/>
    <w:rsid w:val="002F4664"/>
    <w:rsid w:val="00316497"/>
    <w:rsid w:val="0032321C"/>
    <w:rsid w:val="00324F74"/>
    <w:rsid w:val="00337A32"/>
    <w:rsid w:val="0034254F"/>
    <w:rsid w:val="00342B41"/>
    <w:rsid w:val="00344B79"/>
    <w:rsid w:val="003574FD"/>
    <w:rsid w:val="00360B6E"/>
    <w:rsid w:val="00370CDA"/>
    <w:rsid w:val="003765C4"/>
    <w:rsid w:val="00376693"/>
    <w:rsid w:val="00383D3F"/>
    <w:rsid w:val="003A1162"/>
    <w:rsid w:val="003B1B55"/>
    <w:rsid w:val="003C6F48"/>
    <w:rsid w:val="003D1DFA"/>
    <w:rsid w:val="003D3725"/>
    <w:rsid w:val="003E09B3"/>
    <w:rsid w:val="003E7D0C"/>
    <w:rsid w:val="003F1C12"/>
    <w:rsid w:val="003F1ED0"/>
    <w:rsid w:val="00400868"/>
    <w:rsid w:val="004022D2"/>
    <w:rsid w:val="004101C8"/>
    <w:rsid w:val="004113BC"/>
    <w:rsid w:val="004119BE"/>
    <w:rsid w:val="00411F8B"/>
    <w:rsid w:val="00413BD8"/>
    <w:rsid w:val="004154C2"/>
    <w:rsid w:val="00437660"/>
    <w:rsid w:val="004443B1"/>
    <w:rsid w:val="0046751C"/>
    <w:rsid w:val="00467A92"/>
    <w:rsid w:val="00474627"/>
    <w:rsid w:val="00477352"/>
    <w:rsid w:val="004832E0"/>
    <w:rsid w:val="004A43D9"/>
    <w:rsid w:val="004B5C09"/>
    <w:rsid w:val="004B7968"/>
    <w:rsid w:val="004D0BD6"/>
    <w:rsid w:val="004D5EB1"/>
    <w:rsid w:val="004E227E"/>
    <w:rsid w:val="004E43CC"/>
    <w:rsid w:val="004E6CF5"/>
    <w:rsid w:val="004E7036"/>
    <w:rsid w:val="004E7DE5"/>
    <w:rsid w:val="0050403F"/>
    <w:rsid w:val="005042EB"/>
    <w:rsid w:val="00504A0B"/>
    <w:rsid w:val="00515504"/>
    <w:rsid w:val="005178BC"/>
    <w:rsid w:val="0054053A"/>
    <w:rsid w:val="00554276"/>
    <w:rsid w:val="00570ABA"/>
    <w:rsid w:val="005829F2"/>
    <w:rsid w:val="00584460"/>
    <w:rsid w:val="00590149"/>
    <w:rsid w:val="005A5505"/>
    <w:rsid w:val="005B24A0"/>
    <w:rsid w:val="005B7A5E"/>
    <w:rsid w:val="005C4361"/>
    <w:rsid w:val="005C5034"/>
    <w:rsid w:val="005D2A1A"/>
    <w:rsid w:val="005D3879"/>
    <w:rsid w:val="005D6BBD"/>
    <w:rsid w:val="005E1F84"/>
    <w:rsid w:val="005E41B5"/>
    <w:rsid w:val="005E643D"/>
    <w:rsid w:val="005E6A49"/>
    <w:rsid w:val="005F0FA6"/>
    <w:rsid w:val="005F145B"/>
    <w:rsid w:val="00610830"/>
    <w:rsid w:val="0061355C"/>
    <w:rsid w:val="0061691B"/>
    <w:rsid w:val="00616B41"/>
    <w:rsid w:val="00616ECF"/>
    <w:rsid w:val="00620AE8"/>
    <w:rsid w:val="006236E4"/>
    <w:rsid w:val="00623CBC"/>
    <w:rsid w:val="0062460C"/>
    <w:rsid w:val="00635169"/>
    <w:rsid w:val="0063597D"/>
    <w:rsid w:val="0064000A"/>
    <w:rsid w:val="0064628C"/>
    <w:rsid w:val="0067569B"/>
    <w:rsid w:val="00680296"/>
    <w:rsid w:val="0068195C"/>
    <w:rsid w:val="006828A7"/>
    <w:rsid w:val="00682CB9"/>
    <w:rsid w:val="00683BC4"/>
    <w:rsid w:val="0068451D"/>
    <w:rsid w:val="00684BE1"/>
    <w:rsid w:val="00685246"/>
    <w:rsid w:val="00686FAF"/>
    <w:rsid w:val="00696C1E"/>
    <w:rsid w:val="006A2355"/>
    <w:rsid w:val="006A648C"/>
    <w:rsid w:val="006A748D"/>
    <w:rsid w:val="006C2731"/>
    <w:rsid w:val="006C3011"/>
    <w:rsid w:val="006C42A7"/>
    <w:rsid w:val="006E6AAA"/>
    <w:rsid w:val="006F03D4"/>
    <w:rsid w:val="006F10A5"/>
    <w:rsid w:val="006F2665"/>
    <w:rsid w:val="006F75EE"/>
    <w:rsid w:val="0070200D"/>
    <w:rsid w:val="00710FAB"/>
    <w:rsid w:val="0074302D"/>
    <w:rsid w:val="00753D72"/>
    <w:rsid w:val="00755505"/>
    <w:rsid w:val="00771C24"/>
    <w:rsid w:val="00773F2F"/>
    <w:rsid w:val="00777F07"/>
    <w:rsid w:val="00786357"/>
    <w:rsid w:val="0079722D"/>
    <w:rsid w:val="007A4170"/>
    <w:rsid w:val="007B0712"/>
    <w:rsid w:val="007B3B8C"/>
    <w:rsid w:val="007B7C46"/>
    <w:rsid w:val="007D5836"/>
    <w:rsid w:val="007D5C40"/>
    <w:rsid w:val="007E0B99"/>
    <w:rsid w:val="007E2FA9"/>
    <w:rsid w:val="007E3D12"/>
    <w:rsid w:val="00803331"/>
    <w:rsid w:val="00803FD3"/>
    <w:rsid w:val="00810B20"/>
    <w:rsid w:val="00816F97"/>
    <w:rsid w:val="008240DA"/>
    <w:rsid w:val="00832AEC"/>
    <w:rsid w:val="00836CCE"/>
    <w:rsid w:val="008444F8"/>
    <w:rsid w:val="0084590C"/>
    <w:rsid w:val="008465D1"/>
    <w:rsid w:val="00853B2C"/>
    <w:rsid w:val="00853F3E"/>
    <w:rsid w:val="00860549"/>
    <w:rsid w:val="008622DA"/>
    <w:rsid w:val="00863201"/>
    <w:rsid w:val="00867EA4"/>
    <w:rsid w:val="0087096F"/>
    <w:rsid w:val="00883D90"/>
    <w:rsid w:val="00891591"/>
    <w:rsid w:val="00895FB9"/>
    <w:rsid w:val="008A3746"/>
    <w:rsid w:val="008B280D"/>
    <w:rsid w:val="008C5AB0"/>
    <w:rsid w:val="008C678C"/>
    <w:rsid w:val="008D2D41"/>
    <w:rsid w:val="008D6F69"/>
    <w:rsid w:val="008D7E1C"/>
    <w:rsid w:val="008E2FFF"/>
    <w:rsid w:val="008E476B"/>
    <w:rsid w:val="008E541C"/>
    <w:rsid w:val="008E6FD8"/>
    <w:rsid w:val="00907344"/>
    <w:rsid w:val="00916845"/>
    <w:rsid w:val="009259E7"/>
    <w:rsid w:val="0093316D"/>
    <w:rsid w:val="009331F0"/>
    <w:rsid w:val="00940231"/>
    <w:rsid w:val="00951985"/>
    <w:rsid w:val="00954461"/>
    <w:rsid w:val="009633AE"/>
    <w:rsid w:val="009854A4"/>
    <w:rsid w:val="00985795"/>
    <w:rsid w:val="00990C51"/>
    <w:rsid w:val="009921B8"/>
    <w:rsid w:val="009939A8"/>
    <w:rsid w:val="00993B51"/>
    <w:rsid w:val="0099579B"/>
    <w:rsid w:val="00997A83"/>
    <w:rsid w:val="009A09FF"/>
    <w:rsid w:val="009B43AF"/>
    <w:rsid w:val="009C429A"/>
    <w:rsid w:val="009D08E1"/>
    <w:rsid w:val="009D0B79"/>
    <w:rsid w:val="009E2142"/>
    <w:rsid w:val="009F5ABD"/>
    <w:rsid w:val="00A01A2F"/>
    <w:rsid w:val="00A066FA"/>
    <w:rsid w:val="00A0694B"/>
    <w:rsid w:val="00A07662"/>
    <w:rsid w:val="00A11962"/>
    <w:rsid w:val="00A12A42"/>
    <w:rsid w:val="00A26D5B"/>
    <w:rsid w:val="00A431E3"/>
    <w:rsid w:val="00A44264"/>
    <w:rsid w:val="00A442D1"/>
    <w:rsid w:val="00A4511E"/>
    <w:rsid w:val="00A615D8"/>
    <w:rsid w:val="00A67CD4"/>
    <w:rsid w:val="00A71C32"/>
    <w:rsid w:val="00A750A4"/>
    <w:rsid w:val="00A864D9"/>
    <w:rsid w:val="00AB3005"/>
    <w:rsid w:val="00AB314A"/>
    <w:rsid w:val="00AC0030"/>
    <w:rsid w:val="00AD1CC1"/>
    <w:rsid w:val="00AE2077"/>
    <w:rsid w:val="00AE305B"/>
    <w:rsid w:val="00B0108C"/>
    <w:rsid w:val="00B308D2"/>
    <w:rsid w:val="00B31430"/>
    <w:rsid w:val="00B3175F"/>
    <w:rsid w:val="00B36595"/>
    <w:rsid w:val="00B40DE0"/>
    <w:rsid w:val="00B435B5"/>
    <w:rsid w:val="00B44833"/>
    <w:rsid w:val="00B50F51"/>
    <w:rsid w:val="00B5397D"/>
    <w:rsid w:val="00B56601"/>
    <w:rsid w:val="00B63628"/>
    <w:rsid w:val="00B72B85"/>
    <w:rsid w:val="00B778F6"/>
    <w:rsid w:val="00B77ABF"/>
    <w:rsid w:val="00BB2C11"/>
    <w:rsid w:val="00BB6899"/>
    <w:rsid w:val="00BB6E8D"/>
    <w:rsid w:val="00BB76DC"/>
    <w:rsid w:val="00BC30B3"/>
    <w:rsid w:val="00BD1EB8"/>
    <w:rsid w:val="00BD31EE"/>
    <w:rsid w:val="00BD6838"/>
    <w:rsid w:val="00BE3A36"/>
    <w:rsid w:val="00BE54BC"/>
    <w:rsid w:val="00BF3F94"/>
    <w:rsid w:val="00BF46B6"/>
    <w:rsid w:val="00BF5D63"/>
    <w:rsid w:val="00C123F9"/>
    <w:rsid w:val="00C1643D"/>
    <w:rsid w:val="00C16970"/>
    <w:rsid w:val="00C17585"/>
    <w:rsid w:val="00C22674"/>
    <w:rsid w:val="00C33677"/>
    <w:rsid w:val="00C3673A"/>
    <w:rsid w:val="00C406F3"/>
    <w:rsid w:val="00C41C20"/>
    <w:rsid w:val="00C42633"/>
    <w:rsid w:val="00C435F5"/>
    <w:rsid w:val="00C44925"/>
    <w:rsid w:val="00C57B88"/>
    <w:rsid w:val="00C664DA"/>
    <w:rsid w:val="00C749EC"/>
    <w:rsid w:val="00C829DB"/>
    <w:rsid w:val="00C91E18"/>
    <w:rsid w:val="00C91EC1"/>
    <w:rsid w:val="00C938F0"/>
    <w:rsid w:val="00CA2FED"/>
    <w:rsid w:val="00CB2557"/>
    <w:rsid w:val="00CC6A93"/>
    <w:rsid w:val="00CD79A5"/>
    <w:rsid w:val="00CE7765"/>
    <w:rsid w:val="00CF0BC0"/>
    <w:rsid w:val="00CF2217"/>
    <w:rsid w:val="00CF6C7A"/>
    <w:rsid w:val="00CF6CBD"/>
    <w:rsid w:val="00D02B28"/>
    <w:rsid w:val="00D1656A"/>
    <w:rsid w:val="00D27199"/>
    <w:rsid w:val="00D31AB7"/>
    <w:rsid w:val="00D370B0"/>
    <w:rsid w:val="00D4188B"/>
    <w:rsid w:val="00D65FB4"/>
    <w:rsid w:val="00D670AF"/>
    <w:rsid w:val="00D7126F"/>
    <w:rsid w:val="00D769EE"/>
    <w:rsid w:val="00D82A44"/>
    <w:rsid w:val="00D86671"/>
    <w:rsid w:val="00DD3ACE"/>
    <w:rsid w:val="00DE373A"/>
    <w:rsid w:val="00DF2856"/>
    <w:rsid w:val="00DF3A55"/>
    <w:rsid w:val="00E02DC1"/>
    <w:rsid w:val="00E07871"/>
    <w:rsid w:val="00E10DA2"/>
    <w:rsid w:val="00E227EF"/>
    <w:rsid w:val="00E40535"/>
    <w:rsid w:val="00E41770"/>
    <w:rsid w:val="00E42511"/>
    <w:rsid w:val="00E460A2"/>
    <w:rsid w:val="00E6066F"/>
    <w:rsid w:val="00E75416"/>
    <w:rsid w:val="00E83C00"/>
    <w:rsid w:val="00E90312"/>
    <w:rsid w:val="00EA061C"/>
    <w:rsid w:val="00EA16D4"/>
    <w:rsid w:val="00EA277E"/>
    <w:rsid w:val="00EA48C8"/>
    <w:rsid w:val="00EB4059"/>
    <w:rsid w:val="00EC18BC"/>
    <w:rsid w:val="00EC1B9B"/>
    <w:rsid w:val="00ED4C0C"/>
    <w:rsid w:val="00ED64D6"/>
    <w:rsid w:val="00EE3D75"/>
    <w:rsid w:val="00EE63AE"/>
    <w:rsid w:val="00F01B80"/>
    <w:rsid w:val="00F0657F"/>
    <w:rsid w:val="00F22F08"/>
    <w:rsid w:val="00F25C38"/>
    <w:rsid w:val="00F32531"/>
    <w:rsid w:val="00F3638F"/>
    <w:rsid w:val="00F36BB7"/>
    <w:rsid w:val="00F4338B"/>
    <w:rsid w:val="00F4403D"/>
    <w:rsid w:val="00F45C17"/>
    <w:rsid w:val="00F560A9"/>
    <w:rsid w:val="00F67B70"/>
    <w:rsid w:val="00F87910"/>
    <w:rsid w:val="00F937F5"/>
    <w:rsid w:val="00F9431D"/>
    <w:rsid w:val="00FA1364"/>
    <w:rsid w:val="00FA2774"/>
    <w:rsid w:val="00FC2769"/>
    <w:rsid w:val="00FE1217"/>
    <w:rsid w:val="00FE2819"/>
    <w:rsid w:val="00FE51D6"/>
    <w:rsid w:val="00FE5828"/>
    <w:rsid w:val="00FF0969"/>
    <w:rsid w:val="00FF246D"/>
    <w:rsid w:val="00FF3CF1"/>
    <w:rsid w:val="00FF6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ind w:left="187" w:hanging="187"/>
    </w:pPr>
  </w:style>
  <w:style w:type="paragraph" w:styleId="ListParagraph">
    <w:name w:val="List Paragraph"/>
    <w:basedOn w:val="Normal"/>
    <w:uiPriority w:val="34"/>
    <w:qFormat/>
    <w:rsid w:val="00F4403D"/>
  </w:style>
  <w:style w:type="paragraph" w:styleId="BalloonText">
    <w:name w:val="Balloon Text"/>
    <w:basedOn w:val="Normal"/>
    <w:link w:val="BalloonTextChar"/>
    <w:rsid w:val="003F1C12"/>
    <w:rPr>
      <w:rFonts w:ascii="Tahoma" w:hAnsi="Tahoma" w:cs="Tahoma"/>
      <w:sz w:val="16"/>
      <w:szCs w:val="16"/>
    </w:rPr>
  </w:style>
  <w:style w:type="character" w:customStyle="1" w:styleId="BalloonTextChar">
    <w:name w:val="Balloon Text Char"/>
    <w:basedOn w:val="DefaultParagraphFont"/>
    <w:link w:val="BalloonText"/>
    <w:rsid w:val="003F1C12"/>
    <w:rPr>
      <w:rFonts w:ascii="Tahoma" w:hAnsi="Tahoma" w:cs="Tahoma"/>
      <w:sz w:val="16"/>
      <w:szCs w:val="16"/>
    </w:rPr>
  </w:style>
  <w:style w:type="paragraph" w:styleId="Header">
    <w:name w:val="header"/>
    <w:basedOn w:val="Normal"/>
    <w:link w:val="HeaderChar"/>
    <w:rsid w:val="00000C26"/>
    <w:pPr>
      <w:tabs>
        <w:tab w:val="center" w:pos="4680"/>
        <w:tab w:val="right" w:pos="9360"/>
      </w:tabs>
    </w:pPr>
  </w:style>
  <w:style w:type="character" w:customStyle="1" w:styleId="HeaderChar">
    <w:name w:val="Header Char"/>
    <w:basedOn w:val="DefaultParagraphFont"/>
    <w:link w:val="Header"/>
    <w:rsid w:val="00000C26"/>
    <w:rPr>
      <w:sz w:val="24"/>
      <w:szCs w:val="24"/>
    </w:rPr>
  </w:style>
  <w:style w:type="paragraph" w:styleId="Footer">
    <w:name w:val="footer"/>
    <w:basedOn w:val="Normal"/>
    <w:link w:val="FooterChar"/>
    <w:uiPriority w:val="99"/>
    <w:rsid w:val="00000C26"/>
    <w:pPr>
      <w:tabs>
        <w:tab w:val="center" w:pos="4680"/>
        <w:tab w:val="right" w:pos="9360"/>
      </w:tabs>
    </w:pPr>
  </w:style>
  <w:style w:type="character" w:customStyle="1" w:styleId="FooterChar">
    <w:name w:val="Footer Char"/>
    <w:basedOn w:val="DefaultParagraphFont"/>
    <w:link w:val="Footer"/>
    <w:uiPriority w:val="99"/>
    <w:rsid w:val="00000C26"/>
    <w:rPr>
      <w:sz w:val="24"/>
      <w:szCs w:val="24"/>
    </w:rPr>
  </w:style>
  <w:style w:type="character" w:styleId="Hyperlink">
    <w:name w:val="Hyperlink"/>
    <w:basedOn w:val="DefaultParagraphFont"/>
    <w:rsid w:val="00A431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ind w:left="187" w:hanging="187"/>
    </w:pPr>
  </w:style>
  <w:style w:type="paragraph" w:styleId="ListParagraph">
    <w:name w:val="List Paragraph"/>
    <w:basedOn w:val="Normal"/>
    <w:uiPriority w:val="34"/>
    <w:qFormat/>
    <w:rsid w:val="00F4403D"/>
  </w:style>
  <w:style w:type="paragraph" w:styleId="BalloonText">
    <w:name w:val="Balloon Text"/>
    <w:basedOn w:val="Normal"/>
    <w:link w:val="BalloonTextChar"/>
    <w:rsid w:val="003F1C12"/>
    <w:rPr>
      <w:rFonts w:ascii="Tahoma" w:hAnsi="Tahoma" w:cs="Tahoma"/>
      <w:sz w:val="16"/>
      <w:szCs w:val="16"/>
    </w:rPr>
  </w:style>
  <w:style w:type="character" w:customStyle="1" w:styleId="BalloonTextChar">
    <w:name w:val="Balloon Text Char"/>
    <w:basedOn w:val="DefaultParagraphFont"/>
    <w:link w:val="BalloonText"/>
    <w:rsid w:val="003F1C12"/>
    <w:rPr>
      <w:rFonts w:ascii="Tahoma" w:hAnsi="Tahoma" w:cs="Tahoma"/>
      <w:sz w:val="16"/>
      <w:szCs w:val="16"/>
    </w:rPr>
  </w:style>
  <w:style w:type="paragraph" w:styleId="Header">
    <w:name w:val="header"/>
    <w:basedOn w:val="Normal"/>
    <w:link w:val="HeaderChar"/>
    <w:rsid w:val="00000C26"/>
    <w:pPr>
      <w:tabs>
        <w:tab w:val="center" w:pos="4680"/>
        <w:tab w:val="right" w:pos="9360"/>
      </w:tabs>
    </w:pPr>
  </w:style>
  <w:style w:type="character" w:customStyle="1" w:styleId="HeaderChar">
    <w:name w:val="Header Char"/>
    <w:basedOn w:val="DefaultParagraphFont"/>
    <w:link w:val="Header"/>
    <w:rsid w:val="00000C26"/>
    <w:rPr>
      <w:sz w:val="24"/>
      <w:szCs w:val="24"/>
    </w:rPr>
  </w:style>
  <w:style w:type="paragraph" w:styleId="Footer">
    <w:name w:val="footer"/>
    <w:basedOn w:val="Normal"/>
    <w:link w:val="FooterChar"/>
    <w:uiPriority w:val="99"/>
    <w:rsid w:val="00000C26"/>
    <w:pPr>
      <w:tabs>
        <w:tab w:val="center" w:pos="4680"/>
        <w:tab w:val="right" w:pos="9360"/>
      </w:tabs>
    </w:pPr>
  </w:style>
  <w:style w:type="character" w:customStyle="1" w:styleId="FooterChar">
    <w:name w:val="Footer Char"/>
    <w:basedOn w:val="DefaultParagraphFont"/>
    <w:link w:val="Footer"/>
    <w:uiPriority w:val="99"/>
    <w:rsid w:val="00000C26"/>
    <w:rPr>
      <w:sz w:val="24"/>
      <w:szCs w:val="24"/>
    </w:rPr>
  </w:style>
  <w:style w:type="character" w:styleId="Hyperlink">
    <w:name w:val="Hyperlink"/>
    <w:basedOn w:val="DefaultParagraphFont"/>
    <w:rsid w:val="00A431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667990">
      <w:bodyDiv w:val="1"/>
      <w:marLeft w:val="0"/>
      <w:marRight w:val="0"/>
      <w:marTop w:val="0"/>
      <w:marBottom w:val="0"/>
      <w:divBdr>
        <w:top w:val="none" w:sz="0" w:space="0" w:color="auto"/>
        <w:left w:val="none" w:sz="0" w:space="0" w:color="auto"/>
        <w:bottom w:val="none" w:sz="0" w:space="0" w:color="auto"/>
        <w:right w:val="none" w:sz="0" w:space="0" w:color="auto"/>
      </w:divBdr>
    </w:div>
    <w:div w:id="294140249">
      <w:bodyDiv w:val="1"/>
      <w:marLeft w:val="0"/>
      <w:marRight w:val="0"/>
      <w:marTop w:val="0"/>
      <w:marBottom w:val="0"/>
      <w:divBdr>
        <w:top w:val="none" w:sz="0" w:space="0" w:color="auto"/>
        <w:left w:val="none" w:sz="0" w:space="0" w:color="auto"/>
        <w:bottom w:val="none" w:sz="0" w:space="0" w:color="auto"/>
        <w:right w:val="none" w:sz="0" w:space="0" w:color="auto"/>
      </w:divBdr>
    </w:div>
    <w:div w:id="692192438">
      <w:bodyDiv w:val="1"/>
      <w:marLeft w:val="0"/>
      <w:marRight w:val="0"/>
      <w:marTop w:val="0"/>
      <w:marBottom w:val="0"/>
      <w:divBdr>
        <w:top w:val="none" w:sz="0" w:space="0" w:color="auto"/>
        <w:left w:val="none" w:sz="0" w:space="0" w:color="auto"/>
        <w:bottom w:val="none" w:sz="0" w:space="0" w:color="auto"/>
        <w:right w:val="none" w:sz="0" w:space="0" w:color="auto"/>
      </w:divBdr>
    </w:div>
    <w:div w:id="1201745857">
      <w:bodyDiv w:val="1"/>
      <w:marLeft w:val="0"/>
      <w:marRight w:val="0"/>
      <w:marTop w:val="0"/>
      <w:marBottom w:val="0"/>
      <w:divBdr>
        <w:top w:val="none" w:sz="0" w:space="0" w:color="auto"/>
        <w:left w:val="none" w:sz="0" w:space="0" w:color="auto"/>
        <w:bottom w:val="none" w:sz="0" w:space="0" w:color="auto"/>
        <w:right w:val="none" w:sz="0" w:space="0" w:color="auto"/>
      </w:divBdr>
    </w:div>
    <w:div w:id="1715346024">
      <w:bodyDiv w:val="1"/>
      <w:marLeft w:val="0"/>
      <w:marRight w:val="0"/>
      <w:marTop w:val="0"/>
      <w:marBottom w:val="0"/>
      <w:divBdr>
        <w:top w:val="none" w:sz="0" w:space="0" w:color="auto"/>
        <w:left w:val="none" w:sz="0" w:space="0" w:color="auto"/>
        <w:bottom w:val="none" w:sz="0" w:space="0" w:color="auto"/>
        <w:right w:val="none" w:sz="0" w:space="0" w:color="auto"/>
      </w:divBdr>
    </w:div>
    <w:div w:id="20461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liance.tennessee.edu/codepolicy.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imino\Application%20Data\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C3A86-0B8B-4A4C-934A-5D1E2FC7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76</TotalTime>
  <Pages>9</Pages>
  <Words>3679</Words>
  <Characters>20027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Cimino</dc:creator>
  <cp:lastModifiedBy>maples00</cp:lastModifiedBy>
  <cp:revision>13</cp:revision>
  <cp:lastPrinted>2012-10-01T15:42:00Z</cp:lastPrinted>
  <dcterms:created xsi:type="dcterms:W3CDTF">2012-10-04T16:37:00Z</dcterms:created>
  <dcterms:modified xsi:type="dcterms:W3CDTF">2012-11-07T17:13:00Z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