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0EFEE" w14:textId="77777777" w:rsidR="001A0A40" w:rsidRDefault="003844A0" w:rsidP="00131B8C">
      <w:pPr>
        <w:pStyle w:val="Heading1"/>
      </w:pPr>
      <w:r>
        <w:t>Business Intelligence Community of Practice</w:t>
      </w:r>
    </w:p>
    <w:p w14:paraId="5FC146BD" w14:textId="77777777" w:rsidR="003844A0" w:rsidRDefault="0038586B" w:rsidP="00131B8C">
      <w:pPr>
        <w:pStyle w:val="Heading2"/>
      </w:pPr>
      <w:r>
        <w:t>Meeting Minutes for July 15, 2015</w:t>
      </w:r>
      <w:bookmarkStart w:id="0" w:name="_GoBack"/>
      <w:bookmarkEnd w:id="0"/>
    </w:p>
    <w:p w14:paraId="14C3B33A" w14:textId="77777777" w:rsidR="00131B8C" w:rsidRDefault="00131B8C"/>
    <w:p w14:paraId="32BF877F" w14:textId="77777777" w:rsidR="00131B8C" w:rsidRDefault="00131B8C">
      <w:r>
        <w:t>Location: Video conference with members joining from Knoxville, Martin, Chattanooga, and Memphis.</w:t>
      </w:r>
    </w:p>
    <w:p w14:paraId="78BDDB4A" w14:textId="77777777" w:rsidR="00131B8C" w:rsidRDefault="003844A0">
      <w:r>
        <w:t xml:space="preserve">Attendees: </w:t>
      </w:r>
    </w:p>
    <w:p w14:paraId="2692A304" w14:textId="77777777" w:rsidR="00131B8C" w:rsidRDefault="003844A0" w:rsidP="00131B8C">
      <w:pPr>
        <w:pStyle w:val="ListParagraph"/>
        <w:numPr>
          <w:ilvl w:val="0"/>
          <w:numId w:val="2"/>
        </w:numPr>
      </w:pPr>
      <w:r>
        <w:t xml:space="preserve">Jay Eckles (co-chair), </w:t>
      </w:r>
      <w:r w:rsidR="0038586B">
        <w:t>UT System Administration</w:t>
      </w:r>
      <w:r w:rsidR="00131B8C">
        <w:t xml:space="preserve">, Director of </w:t>
      </w:r>
      <w:r w:rsidR="0038586B">
        <w:t>B</w:t>
      </w:r>
      <w:r w:rsidR="00131B8C">
        <w:t>usiness Intelligence</w:t>
      </w:r>
    </w:p>
    <w:p w14:paraId="6284911D" w14:textId="77777777" w:rsidR="00131B8C" w:rsidRDefault="003844A0" w:rsidP="00131B8C">
      <w:pPr>
        <w:pStyle w:val="ListParagraph"/>
        <w:numPr>
          <w:ilvl w:val="0"/>
          <w:numId w:val="2"/>
        </w:numPr>
      </w:pPr>
      <w:r>
        <w:t xml:space="preserve">Dennis Hengstler (co-chair), </w:t>
      </w:r>
      <w:r w:rsidR="0038586B">
        <w:t>UT System Administration</w:t>
      </w:r>
      <w:r w:rsidR="00131B8C">
        <w:t>, Asst. VP and Director of Institutional Research</w:t>
      </w:r>
    </w:p>
    <w:p w14:paraId="12BFFC60" w14:textId="77777777" w:rsidR="0038586B" w:rsidRDefault="0038586B" w:rsidP="0038586B">
      <w:pPr>
        <w:pStyle w:val="ListParagraph"/>
        <w:numPr>
          <w:ilvl w:val="0"/>
          <w:numId w:val="2"/>
        </w:numPr>
      </w:pPr>
      <w:r>
        <w:t xml:space="preserve">Kriss Gabourel, </w:t>
      </w:r>
      <w:r>
        <w:t>UT System Administration</w:t>
      </w:r>
      <w:r>
        <w:t>, IT Administrator II</w:t>
      </w:r>
    </w:p>
    <w:p w14:paraId="6A41A57F" w14:textId="77777777" w:rsidR="0038586B" w:rsidRDefault="0038586B" w:rsidP="0038586B">
      <w:pPr>
        <w:pStyle w:val="ListParagraph"/>
        <w:numPr>
          <w:ilvl w:val="0"/>
          <w:numId w:val="2"/>
        </w:numPr>
      </w:pPr>
      <w:r>
        <w:t xml:space="preserve">Denise Haley, </w:t>
      </w:r>
      <w:r>
        <w:t>UT System Administration</w:t>
      </w:r>
      <w:r>
        <w:t xml:space="preserve">, Business Analyst </w:t>
      </w:r>
    </w:p>
    <w:p w14:paraId="7376E2EF" w14:textId="77777777" w:rsidR="0038586B" w:rsidRDefault="0038586B" w:rsidP="0038586B">
      <w:pPr>
        <w:pStyle w:val="ListParagraph"/>
        <w:numPr>
          <w:ilvl w:val="0"/>
          <w:numId w:val="2"/>
        </w:numPr>
      </w:pPr>
      <w:r>
        <w:t xml:space="preserve">Janice Hodge, </w:t>
      </w:r>
      <w:r>
        <w:t>UT System Administration</w:t>
      </w:r>
      <w:r>
        <w:t>, Director of HR Technology and Metrics</w:t>
      </w:r>
    </w:p>
    <w:p w14:paraId="32ECD6F2" w14:textId="77777777" w:rsidR="0038586B" w:rsidRDefault="0038586B" w:rsidP="0038586B">
      <w:pPr>
        <w:pStyle w:val="ListParagraph"/>
        <w:numPr>
          <w:ilvl w:val="0"/>
          <w:numId w:val="2"/>
        </w:numPr>
      </w:pPr>
      <w:r>
        <w:t xml:space="preserve">Ed Johnson, </w:t>
      </w:r>
      <w:r>
        <w:t>UT System Administration</w:t>
      </w:r>
      <w:r>
        <w:t>, IT Manager</w:t>
      </w:r>
    </w:p>
    <w:p w14:paraId="42FEDFF3" w14:textId="77777777" w:rsidR="0038586B" w:rsidRDefault="0038586B" w:rsidP="0038586B">
      <w:pPr>
        <w:pStyle w:val="ListParagraph"/>
        <w:numPr>
          <w:ilvl w:val="0"/>
          <w:numId w:val="2"/>
        </w:numPr>
      </w:pPr>
      <w:r>
        <w:t xml:space="preserve">Les Mathews, </w:t>
      </w:r>
      <w:r>
        <w:t>UT System Administration</w:t>
      </w:r>
      <w:r>
        <w:t>, Executive Director of Information Technology</w:t>
      </w:r>
    </w:p>
    <w:p w14:paraId="46E2458B" w14:textId="77777777" w:rsidR="0038586B" w:rsidRDefault="0038586B" w:rsidP="0038586B">
      <w:pPr>
        <w:pStyle w:val="ListParagraph"/>
        <w:numPr>
          <w:ilvl w:val="0"/>
          <w:numId w:val="2"/>
        </w:numPr>
      </w:pPr>
      <w:r>
        <w:t>Lisa Ann Ford, UT Foundation, Director</w:t>
      </w:r>
    </w:p>
    <w:p w14:paraId="7192BE49" w14:textId="77777777" w:rsidR="0038586B" w:rsidRDefault="0038586B" w:rsidP="0038586B">
      <w:pPr>
        <w:pStyle w:val="ListParagraph"/>
        <w:numPr>
          <w:ilvl w:val="0"/>
          <w:numId w:val="2"/>
        </w:numPr>
      </w:pPr>
      <w:r>
        <w:t>John Toman, UT Institute for Agriculture, IT Specialist</w:t>
      </w:r>
    </w:p>
    <w:p w14:paraId="259AD9BA" w14:textId="77777777" w:rsidR="0038586B" w:rsidRDefault="0038586B" w:rsidP="0038586B">
      <w:pPr>
        <w:pStyle w:val="ListParagraph"/>
        <w:numPr>
          <w:ilvl w:val="0"/>
          <w:numId w:val="2"/>
        </w:numPr>
      </w:pPr>
      <w:r>
        <w:t>Shawn Bryan, UT Health Science Center, IT Analyst II</w:t>
      </w:r>
    </w:p>
    <w:p w14:paraId="409F7AEE" w14:textId="77777777" w:rsidR="0038586B" w:rsidRDefault="0038586B" w:rsidP="0038586B">
      <w:pPr>
        <w:pStyle w:val="ListParagraph"/>
        <w:numPr>
          <w:ilvl w:val="0"/>
          <w:numId w:val="2"/>
        </w:numPr>
      </w:pPr>
      <w:r>
        <w:t>Allen Dupont, UT Health Science Center, Director of Institutional Effectiveness</w:t>
      </w:r>
    </w:p>
    <w:p w14:paraId="413BC571" w14:textId="77777777" w:rsidR="0038586B" w:rsidRDefault="0038586B" w:rsidP="0038586B">
      <w:pPr>
        <w:pStyle w:val="ListParagraph"/>
        <w:numPr>
          <w:ilvl w:val="0"/>
          <w:numId w:val="2"/>
        </w:numPr>
      </w:pPr>
      <w:r>
        <w:t>Jeanne Hermann, UT Health Science Center, Director of Electronic Research Administration</w:t>
      </w:r>
    </w:p>
    <w:p w14:paraId="2D1256BF" w14:textId="77777777" w:rsidR="0038586B" w:rsidRDefault="0038586B" w:rsidP="0038586B">
      <w:pPr>
        <w:pStyle w:val="ListParagraph"/>
        <w:numPr>
          <w:ilvl w:val="0"/>
          <w:numId w:val="2"/>
        </w:numPr>
      </w:pPr>
      <w:r>
        <w:t>Desiree McCullough, UT Martin, Interim Director of Institutional Research</w:t>
      </w:r>
    </w:p>
    <w:p w14:paraId="339696EF" w14:textId="77777777" w:rsidR="0038586B" w:rsidRDefault="0038586B" w:rsidP="0038586B">
      <w:pPr>
        <w:pStyle w:val="ListParagraph"/>
        <w:numPr>
          <w:ilvl w:val="0"/>
          <w:numId w:val="2"/>
        </w:numPr>
      </w:pPr>
      <w:r>
        <w:t>Steven Robertson, UT Martin, IT Administrator II</w:t>
      </w:r>
    </w:p>
    <w:p w14:paraId="3329157C" w14:textId="77777777" w:rsidR="0038586B" w:rsidRDefault="0038586B" w:rsidP="0038586B">
      <w:pPr>
        <w:pStyle w:val="ListParagraph"/>
        <w:numPr>
          <w:ilvl w:val="0"/>
          <w:numId w:val="2"/>
        </w:numPr>
      </w:pPr>
      <w:r>
        <w:t xml:space="preserve">Tom Hoover, UT Chattanooga, </w:t>
      </w:r>
      <w:proofErr w:type="spellStart"/>
      <w:r>
        <w:t>Assc</w:t>
      </w:r>
      <w:proofErr w:type="spellEnd"/>
      <w:r>
        <w:t>. VC and Chief Information Officer</w:t>
      </w:r>
    </w:p>
    <w:p w14:paraId="4A29F489" w14:textId="77777777" w:rsidR="0038586B" w:rsidRDefault="0038586B" w:rsidP="0038586B">
      <w:pPr>
        <w:pStyle w:val="ListParagraph"/>
        <w:numPr>
          <w:ilvl w:val="0"/>
          <w:numId w:val="2"/>
        </w:numPr>
      </w:pPr>
      <w:r>
        <w:t>Kristen Noblit, UT Chattanooga, Senior Research Associate</w:t>
      </w:r>
    </w:p>
    <w:p w14:paraId="46971857" w14:textId="77777777" w:rsidR="00131B8C" w:rsidRDefault="003844A0" w:rsidP="00131B8C">
      <w:pPr>
        <w:pStyle w:val="ListParagraph"/>
        <w:numPr>
          <w:ilvl w:val="0"/>
          <w:numId w:val="2"/>
        </w:numPr>
      </w:pPr>
      <w:r>
        <w:t xml:space="preserve">Denise Gardner, </w:t>
      </w:r>
      <w:r w:rsidR="00131B8C">
        <w:t>UT Knoxville, Asst. Provost and Director of Institutional Research</w:t>
      </w:r>
    </w:p>
    <w:p w14:paraId="2D8DA304" w14:textId="77777777" w:rsidR="00131B8C" w:rsidRDefault="003844A0" w:rsidP="00131B8C">
      <w:pPr>
        <w:pStyle w:val="ListParagraph"/>
        <w:numPr>
          <w:ilvl w:val="0"/>
          <w:numId w:val="2"/>
        </w:numPr>
      </w:pPr>
      <w:r>
        <w:t xml:space="preserve">Mark Savage, </w:t>
      </w:r>
      <w:r w:rsidR="00131B8C">
        <w:t>UT Knoxville, Executive Director Office of Information Technology</w:t>
      </w:r>
    </w:p>
    <w:p w14:paraId="2DB38907" w14:textId="77777777" w:rsidR="0038586B" w:rsidRDefault="003844A0" w:rsidP="00131B8C">
      <w:pPr>
        <w:pStyle w:val="ListParagraph"/>
        <w:numPr>
          <w:ilvl w:val="0"/>
          <w:numId w:val="2"/>
        </w:numPr>
      </w:pPr>
      <w:r>
        <w:t xml:space="preserve">Ron Loewen, </w:t>
      </w:r>
      <w:r w:rsidR="0038586B">
        <w:t>UT Knoxville, Director of Budget and Finance</w:t>
      </w:r>
    </w:p>
    <w:p w14:paraId="5B9C8A56" w14:textId="77777777" w:rsidR="003844A0" w:rsidRDefault="003844A0">
      <w:r>
        <w:t>Absent: Scott Gordy, Michael Ebbs</w:t>
      </w:r>
    </w:p>
    <w:p w14:paraId="1F73F94F" w14:textId="77777777" w:rsidR="003844A0" w:rsidRDefault="00131B8C">
      <w:r>
        <w:t>Scribe: Mozhgan Shahidi</w:t>
      </w:r>
    </w:p>
    <w:p w14:paraId="3F300D09" w14:textId="77777777" w:rsidR="003844A0" w:rsidRDefault="0038586B">
      <w:r>
        <w:br w:type="page"/>
      </w:r>
      <w:r w:rsidR="003844A0">
        <w:lastRenderedPageBreak/>
        <w:t>Agenda:</w:t>
      </w:r>
    </w:p>
    <w:p w14:paraId="3170FB18" w14:textId="77777777" w:rsidR="003844A0" w:rsidRDefault="003844A0" w:rsidP="003844A0">
      <w:pPr>
        <w:pStyle w:val="NoSpacing"/>
        <w:ind w:left="1080" w:hanging="720"/>
      </w:pPr>
      <w:r>
        <w:t>I.</w:t>
      </w:r>
      <w:r>
        <w:rPr>
          <w:rFonts w:ascii="Times New Roman" w:hAnsi="Times New Roman"/>
          <w:sz w:val="14"/>
          <w:szCs w:val="14"/>
        </w:rPr>
        <w:t xml:space="preserve">                    </w:t>
      </w:r>
      <w:r>
        <w:t xml:space="preserve">Introductions </w:t>
      </w:r>
    </w:p>
    <w:p w14:paraId="565DA5FA" w14:textId="77777777" w:rsidR="003844A0" w:rsidRDefault="003844A0" w:rsidP="003844A0">
      <w:pPr>
        <w:pStyle w:val="NoSpacing"/>
        <w:ind w:left="1080" w:hanging="720"/>
      </w:pPr>
      <w:r>
        <w:t>II.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t xml:space="preserve">Review of </w:t>
      </w:r>
      <w:proofErr w:type="spellStart"/>
      <w:r>
        <w:t>CoP</w:t>
      </w:r>
      <w:proofErr w:type="spellEnd"/>
      <w:r>
        <w:t xml:space="preserve"> Charge </w:t>
      </w:r>
    </w:p>
    <w:p w14:paraId="61B554FD" w14:textId="77777777" w:rsidR="003844A0" w:rsidRDefault="003844A0" w:rsidP="003844A0">
      <w:pPr>
        <w:pStyle w:val="ListParagraph"/>
        <w:spacing w:line="240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Vision and Overview</w:t>
      </w:r>
    </w:p>
    <w:p w14:paraId="048A60B4" w14:textId="77777777" w:rsidR="003844A0" w:rsidRDefault="003844A0" w:rsidP="003844A0">
      <w:pPr>
        <w:pStyle w:val="ListParagraph"/>
        <w:spacing w:line="240" w:lineRule="auto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/>
          <w:sz w:val="14"/>
          <w:szCs w:val="14"/>
        </w:rPr>
        <w:t xml:space="preserve">  </w:t>
      </w:r>
      <w:r>
        <w:t>What</w:t>
      </w:r>
      <w:proofErr w:type="gramEnd"/>
      <w:r>
        <w:t xml:space="preserve"> is BI and why do we need this?</w:t>
      </w:r>
    </w:p>
    <w:p w14:paraId="4BAC975B" w14:textId="77777777" w:rsidR="003844A0" w:rsidRDefault="003844A0" w:rsidP="003844A0">
      <w:pPr>
        <w:pStyle w:val="ListParagraph"/>
        <w:spacing w:after="0" w:line="240" w:lineRule="auto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/>
          <w:sz w:val="14"/>
          <w:szCs w:val="14"/>
        </w:rPr>
        <w:t xml:space="preserve">  </w:t>
      </w:r>
      <w:r>
        <w:t>What</w:t>
      </w:r>
      <w:proofErr w:type="gramEnd"/>
      <w:r>
        <w:t xml:space="preserve"> would we like to accomplish? </w:t>
      </w:r>
    </w:p>
    <w:p w14:paraId="37376037" w14:textId="77777777" w:rsidR="003844A0" w:rsidRDefault="003844A0" w:rsidP="003844A0">
      <w:pPr>
        <w:pStyle w:val="ListParagraph"/>
        <w:spacing w:line="240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Scope of work</w:t>
      </w:r>
    </w:p>
    <w:p w14:paraId="6272F5DF" w14:textId="77777777" w:rsidR="003844A0" w:rsidRDefault="003844A0" w:rsidP="003844A0">
      <w:pPr>
        <w:pStyle w:val="ListParagraph"/>
        <w:spacing w:line="240" w:lineRule="auto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/>
          <w:sz w:val="14"/>
          <w:szCs w:val="14"/>
        </w:rPr>
        <w:t xml:space="preserve">  </w:t>
      </w:r>
      <w:r>
        <w:t>Functional</w:t>
      </w:r>
      <w:proofErr w:type="gramEnd"/>
      <w:r>
        <w:t xml:space="preserve"> areas covered</w:t>
      </w:r>
    </w:p>
    <w:p w14:paraId="6F4F4852" w14:textId="77777777" w:rsidR="003844A0" w:rsidRDefault="003844A0" w:rsidP="003844A0">
      <w:pPr>
        <w:pStyle w:val="ListParagraph"/>
        <w:spacing w:line="240" w:lineRule="auto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/>
          <w:sz w:val="14"/>
          <w:szCs w:val="14"/>
        </w:rPr>
        <w:t xml:space="preserve">  </w:t>
      </w:r>
      <w:r>
        <w:t>Requirements</w:t>
      </w:r>
      <w:proofErr w:type="gramEnd"/>
      <w:r>
        <w:t xml:space="preserve"> for our group’s deliverables</w:t>
      </w:r>
    </w:p>
    <w:p w14:paraId="4F966999" w14:textId="77777777" w:rsidR="003844A0" w:rsidRDefault="003844A0" w:rsidP="003844A0">
      <w:pPr>
        <w:pStyle w:val="ListParagraph"/>
        <w:spacing w:line="240" w:lineRule="auto"/>
        <w:ind w:left="288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Strategy</w:t>
      </w:r>
    </w:p>
    <w:p w14:paraId="585DFD81" w14:textId="77777777" w:rsidR="003844A0" w:rsidRDefault="003844A0" w:rsidP="003844A0">
      <w:pPr>
        <w:pStyle w:val="ListParagraph"/>
        <w:spacing w:line="240" w:lineRule="auto"/>
        <w:ind w:left="288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Tool recommendations</w:t>
      </w:r>
    </w:p>
    <w:p w14:paraId="28D31F6C" w14:textId="77777777" w:rsidR="003844A0" w:rsidRDefault="003844A0" w:rsidP="003844A0">
      <w:pPr>
        <w:pStyle w:val="ListParagraph"/>
        <w:spacing w:line="240" w:lineRule="auto"/>
        <w:ind w:left="288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Resource need recommendations</w:t>
      </w:r>
    </w:p>
    <w:p w14:paraId="466938BE" w14:textId="77777777" w:rsidR="003844A0" w:rsidRDefault="003844A0" w:rsidP="003844A0">
      <w:pPr>
        <w:pStyle w:val="ListParagraph"/>
        <w:spacing w:line="240" w:lineRule="auto"/>
        <w:ind w:left="1080" w:hanging="720"/>
      </w:pPr>
      <w:r>
        <w:t>III.</w:t>
      </w:r>
      <w:r>
        <w:rPr>
          <w:rFonts w:ascii="Times New Roman" w:hAnsi="Times New Roman"/>
          <w:sz w:val="14"/>
          <w:szCs w:val="14"/>
        </w:rPr>
        <w:t xml:space="preserve">                </w:t>
      </w:r>
      <w:r>
        <w:t xml:space="preserve">Next Steps </w:t>
      </w:r>
    </w:p>
    <w:p w14:paraId="4DB2A7F1" w14:textId="77777777" w:rsidR="003844A0" w:rsidRDefault="003844A0" w:rsidP="003844A0">
      <w:pPr>
        <w:pStyle w:val="ListParagraph"/>
        <w:spacing w:line="240" w:lineRule="auto"/>
        <w:ind w:left="1440" w:hanging="360"/>
      </w:pPr>
      <w:r>
        <w:t>a.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Establish subcommittees and leadership</w:t>
      </w:r>
    </w:p>
    <w:p w14:paraId="59E19700" w14:textId="77777777" w:rsidR="003844A0" w:rsidRDefault="003844A0" w:rsidP="003844A0">
      <w:pPr>
        <w:pStyle w:val="ListParagraph"/>
        <w:spacing w:line="240" w:lineRule="auto"/>
        <w:ind w:left="1440" w:hanging="360"/>
      </w:pPr>
      <w:r>
        <w:t>b.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Assign tasks to subcommittees</w:t>
      </w:r>
    </w:p>
    <w:p w14:paraId="3E6ABBA8" w14:textId="77777777" w:rsidR="003844A0" w:rsidRDefault="003844A0" w:rsidP="003844A0">
      <w:pPr>
        <w:pStyle w:val="ListParagraph"/>
        <w:spacing w:line="240" w:lineRule="auto"/>
        <w:ind w:left="1440" w:hanging="360"/>
        <w:rPr>
          <w:rFonts w:ascii="Times New Roman" w:hAnsi="Times New Roman"/>
          <w:color w:val="1F497D"/>
          <w:sz w:val="24"/>
          <w:szCs w:val="24"/>
        </w:rPr>
      </w:pPr>
      <w:r>
        <w:t>c.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Schedule next meeting for reports on assignments</w:t>
      </w:r>
    </w:p>
    <w:p w14:paraId="1FAE0203" w14:textId="77777777" w:rsidR="00131B8C" w:rsidRDefault="003844A0">
      <w:r>
        <w:t>Chair Dennis Hengstler opened the meeting with a welcome, introductions, and background on the process.  The charge of the committee was reviewed, including the vision and overview.</w:t>
      </w:r>
      <w:r w:rsidR="00131B8C">
        <w:t xml:space="preserve">  </w:t>
      </w:r>
    </w:p>
    <w:p w14:paraId="718FE8BB" w14:textId="77777777" w:rsidR="003844A0" w:rsidRDefault="00131B8C">
      <w:r>
        <w:t>Dr. Hengstler reviewed a diagram illustrating the various functional information systems at the University, how they do or might feed a data warehouse, and how those data warehouses would serve as the foundation of a UT System business intelligence platform.</w:t>
      </w:r>
    </w:p>
    <w:p w14:paraId="38E03E40" w14:textId="77777777" w:rsidR="003844A0" w:rsidRDefault="003844A0">
      <w:r>
        <w:t>Chair Jay Eckles led a discussion on what we would like to accomplish and what our greatest concerns are.  The team reviewed pre-meeting survey responses on both topics.  Discussion included topics such as ease of use, metadata, integration and cooperation, timing, prioritization, and scope.</w:t>
      </w:r>
    </w:p>
    <w:p w14:paraId="0DC101E2" w14:textId="77777777" w:rsidR="003844A0" w:rsidRDefault="003844A0" w:rsidP="0038586B">
      <w:pPr>
        <w:spacing w:after="0"/>
      </w:pPr>
      <w:r>
        <w:t>Dr. Eckles introduced a plan for the committee that involved establishing three subcommittees:</w:t>
      </w:r>
    </w:p>
    <w:p w14:paraId="4071EC68" w14:textId="77777777" w:rsidR="003844A0" w:rsidRDefault="003844A0" w:rsidP="0038586B">
      <w:pPr>
        <w:pStyle w:val="ListParagraph"/>
        <w:numPr>
          <w:ilvl w:val="0"/>
          <w:numId w:val="1"/>
        </w:numPr>
        <w:spacing w:after="0"/>
      </w:pPr>
      <w:r>
        <w:t>Software Tools</w:t>
      </w:r>
      <w:r w:rsidR="00131B8C">
        <w:t xml:space="preserve"> (Ed Johnson, chair)</w:t>
      </w:r>
    </w:p>
    <w:p w14:paraId="6D87192F" w14:textId="77777777" w:rsidR="003844A0" w:rsidRDefault="003844A0" w:rsidP="0038586B">
      <w:pPr>
        <w:pStyle w:val="ListParagraph"/>
        <w:numPr>
          <w:ilvl w:val="0"/>
          <w:numId w:val="1"/>
        </w:numPr>
        <w:spacing w:after="0"/>
      </w:pPr>
      <w:r>
        <w:t>Training and Support</w:t>
      </w:r>
      <w:r w:rsidR="00131B8C">
        <w:t xml:space="preserve"> (Denise Haley, chair)</w:t>
      </w:r>
    </w:p>
    <w:p w14:paraId="72DE243F" w14:textId="77777777" w:rsidR="003844A0" w:rsidRDefault="003844A0" w:rsidP="0038586B">
      <w:pPr>
        <w:pStyle w:val="ListParagraph"/>
        <w:numPr>
          <w:ilvl w:val="0"/>
          <w:numId w:val="1"/>
        </w:numPr>
        <w:spacing w:after="0"/>
      </w:pPr>
      <w:r>
        <w:t>Policy, Standards, and Definitions</w:t>
      </w:r>
      <w:r w:rsidR="00131B8C">
        <w:t xml:space="preserve"> (Allen Dupont, chair)</w:t>
      </w:r>
    </w:p>
    <w:p w14:paraId="4F216E9C" w14:textId="77777777" w:rsidR="003844A0" w:rsidRDefault="003844A0">
      <w:r>
        <w:t>A fourth subcommittee, Resources</w:t>
      </w:r>
      <w:r w:rsidR="00131B8C">
        <w:t xml:space="preserve"> (Ron Loewen, chair)</w:t>
      </w:r>
      <w:r>
        <w:t xml:space="preserve">, will be convened once we have recommendations forming.  The plan calls for recommendations to be submitted to SITC by October 15, 2015.  The plan calls for a phase of identifying existing BI </w:t>
      </w:r>
      <w:r w:rsidR="00131B8C">
        <w:t>tools, practices, and policies, a phase for gathering requirements, a phase for strategy development, and finally a phase for building an implementation plan.</w:t>
      </w:r>
    </w:p>
    <w:p w14:paraId="509D3BE6" w14:textId="77777777" w:rsidR="00131B8C" w:rsidRDefault="00131B8C">
      <w:r>
        <w:t>Feedback on the plan primarily centered on the aggressive timeline.  The committee agreed to extend the plan by two weeks to accommodate a general scope and requirements conversation in two weeks’ time.  Subcommittee chairs were encouraged to gather their subcommittees for small group discussion prior to the next meeting.</w:t>
      </w:r>
    </w:p>
    <w:p w14:paraId="3B0FCF9B" w14:textId="77777777" w:rsidR="003844A0" w:rsidRDefault="00131B8C">
      <w:r>
        <w:t>Denise Gardner requested that Dr. Eckles poll the committee members for the best day and time of day for the purposes of scheduling the committee’s future biweekly meetings.</w:t>
      </w:r>
    </w:p>
    <w:p w14:paraId="689C3A1C" w14:textId="77777777" w:rsidR="0038586B" w:rsidRDefault="0038586B">
      <w:r>
        <w:t>Drs. Eckles and Hengstler adjourned the meeting.</w:t>
      </w:r>
    </w:p>
    <w:sectPr w:rsidR="0038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4CE1"/>
    <w:multiLevelType w:val="hybridMultilevel"/>
    <w:tmpl w:val="2E62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31416"/>
    <w:multiLevelType w:val="hybridMultilevel"/>
    <w:tmpl w:val="8A46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A0"/>
    <w:rsid w:val="00131B8C"/>
    <w:rsid w:val="00195F9C"/>
    <w:rsid w:val="001E3985"/>
    <w:rsid w:val="003844A0"/>
    <w:rsid w:val="003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2A3F"/>
  <w15:chartTrackingRefBased/>
  <w15:docId w15:val="{62031774-4A26-4041-8272-442BDC43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B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844A0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844A0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844A0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31B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B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FFBBF82A5F542B96A1CE6572F7E6F" ma:contentTypeVersion="0" ma:contentTypeDescription="Create a new document." ma:contentTypeScope="" ma:versionID="405b3b5e275b348149794988507615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10997-ED5F-41EF-91B6-DA161B9FD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23189B-2AD4-4960-A8CF-E9846C854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9E2BC-63F2-4B16-9E46-458D5484DECF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Eckles, Jay (Jay)</dc:creator>
  <cp:keywords/>
  <dc:description/>
  <cp:lastModifiedBy>Eckles, Jay (Jay)</cp:lastModifiedBy>
  <cp:revision>1</cp:revision>
  <dcterms:created xsi:type="dcterms:W3CDTF">2015-07-21T15:13:00Z</dcterms:created>
  <dcterms:modified xsi:type="dcterms:W3CDTF">2015-07-21T15:45:00Z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0x010100DADFFBBF82A5F542B96A1CE6572F7E6F</vt:lpwstr>
  </property>
</Properties>
</file>