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48" w:rsidRPr="004F35D9" w:rsidRDefault="00D06248" w:rsidP="000B1775">
      <w:pPr>
        <w:tabs>
          <w:tab w:val="left" w:pos="8370"/>
        </w:tabs>
        <w:jc w:val="center"/>
      </w:pPr>
      <w:r w:rsidRPr="004F35D9">
        <w:t>Fi</w:t>
      </w:r>
      <w:r w:rsidR="0018571C" w:rsidRPr="004F35D9">
        <w:t xml:space="preserve">scal </w:t>
      </w:r>
      <w:r w:rsidR="00C56411" w:rsidRPr="004F35D9">
        <w:t xml:space="preserve">Policy </w:t>
      </w:r>
      <w:r w:rsidRPr="004F35D9">
        <w:t>Task Force</w:t>
      </w:r>
    </w:p>
    <w:p w:rsidR="00C56411" w:rsidRPr="004F35D9" w:rsidRDefault="00C56411" w:rsidP="00C56411">
      <w:pPr>
        <w:jc w:val="center"/>
      </w:pPr>
      <w:r w:rsidRPr="004F35D9">
        <w:t xml:space="preserve">Minutes </w:t>
      </w:r>
      <w:r w:rsidR="008D3A28">
        <w:t>1</w:t>
      </w:r>
      <w:r w:rsidR="00A178E6">
        <w:t>1</w:t>
      </w:r>
      <w:r w:rsidR="00E14074" w:rsidRPr="004F35D9">
        <w:t>-</w:t>
      </w:r>
      <w:r w:rsidR="00A178E6">
        <w:t>12</w:t>
      </w:r>
      <w:r w:rsidR="00E14074" w:rsidRPr="004F35D9">
        <w:t>-15</w:t>
      </w:r>
    </w:p>
    <w:p w:rsidR="00D06248" w:rsidRPr="004F35D9" w:rsidRDefault="00D06248"/>
    <w:p w:rsidR="00D06248" w:rsidRPr="004F35D9" w:rsidRDefault="00D06248"/>
    <w:p w:rsidR="00D06248" w:rsidRPr="004F35D9" w:rsidRDefault="00D06248">
      <w:pPr>
        <w:numPr>
          <w:ilvl w:val="0"/>
          <w:numId w:val="1"/>
        </w:numPr>
      </w:pPr>
      <w:r w:rsidRPr="004F35D9">
        <w:t>M</w:t>
      </w:r>
      <w:r w:rsidR="009B2482" w:rsidRPr="004F35D9">
        <w:t xml:space="preserve">embers present </w:t>
      </w:r>
      <w:r w:rsidRPr="004F35D9">
        <w:t xml:space="preserve">- </w:t>
      </w:r>
      <w:r w:rsidR="00A178E6" w:rsidRPr="004F35D9">
        <w:t>Vanasia Parks</w:t>
      </w:r>
      <w:r w:rsidR="00A178E6">
        <w:t>, UTC;</w:t>
      </w:r>
      <w:r w:rsidR="00A178E6">
        <w:t xml:space="preserve"> </w:t>
      </w:r>
      <w:r w:rsidR="008D3A28">
        <w:t xml:space="preserve">and </w:t>
      </w:r>
      <w:r w:rsidR="007252CF" w:rsidRPr="004F35D9">
        <w:t>Missy Kitts</w:t>
      </w:r>
      <w:r w:rsidR="00E14074" w:rsidRPr="004F35D9">
        <w:t xml:space="preserve">, </w:t>
      </w:r>
      <w:r w:rsidR="002479B1">
        <w:t>Ag</w:t>
      </w:r>
      <w:r w:rsidR="000529FA" w:rsidRPr="004F35D9">
        <w:t>;</w:t>
      </w:r>
      <w:r w:rsidR="002479B1" w:rsidRPr="002479B1">
        <w:t xml:space="preserve"> </w:t>
      </w:r>
      <w:r w:rsidR="002479B1" w:rsidRPr="004F35D9">
        <w:t>Jonee Lindstrom</w:t>
      </w:r>
      <w:r w:rsidR="002479B1">
        <w:t>, Knoxville;</w:t>
      </w:r>
      <w:r w:rsidR="008D3A28" w:rsidRPr="008D3A28">
        <w:t xml:space="preserve"> </w:t>
      </w:r>
      <w:r w:rsidR="00A178E6" w:rsidRPr="004F35D9">
        <w:t>Gail White</w:t>
      </w:r>
      <w:r w:rsidR="00A178E6">
        <w:t>, IPS;</w:t>
      </w:r>
      <w:r w:rsidR="00A14CBD" w:rsidRPr="004F35D9">
        <w:t xml:space="preserve"> </w:t>
      </w:r>
      <w:r w:rsidR="00A178E6" w:rsidRPr="004F35D9">
        <w:t>James Hodge</w:t>
      </w:r>
      <w:r w:rsidR="00A178E6">
        <w:t>,</w:t>
      </w:r>
      <w:r w:rsidR="00A178E6" w:rsidRPr="004F35D9">
        <w:t xml:space="preserve"> </w:t>
      </w:r>
      <w:r w:rsidR="00BE6471" w:rsidRPr="004F35D9">
        <w:t>Mark Paganelli</w:t>
      </w:r>
      <w:r w:rsidR="00346A84">
        <w:t xml:space="preserve"> and</w:t>
      </w:r>
      <w:r w:rsidR="00BE6471" w:rsidRPr="004F35D9">
        <w:t xml:space="preserve"> </w:t>
      </w:r>
      <w:r w:rsidR="0035211C" w:rsidRPr="004F35D9">
        <w:t xml:space="preserve">Ron Maples </w:t>
      </w:r>
      <w:r w:rsidR="00C56411" w:rsidRPr="004F35D9">
        <w:t>UWA</w:t>
      </w:r>
      <w:r w:rsidR="00A14CBD" w:rsidRPr="004F35D9">
        <w:t>;</w:t>
      </w:r>
      <w:r w:rsidR="00CD712C">
        <w:t xml:space="preserve"> and</w:t>
      </w:r>
      <w:r w:rsidR="00A14CBD" w:rsidRPr="004F35D9">
        <w:t xml:space="preserve"> Laura Foltz, UTM</w:t>
      </w:r>
      <w:r w:rsidR="00C56411" w:rsidRPr="004F35D9">
        <w:t>. The UTC, UTM</w:t>
      </w:r>
      <w:r w:rsidR="000529FA" w:rsidRPr="004F35D9">
        <w:t>,</w:t>
      </w:r>
      <w:r w:rsidR="00C56411" w:rsidRPr="004F35D9">
        <w:t xml:space="preserve"> HSC </w:t>
      </w:r>
      <w:r w:rsidR="000529FA" w:rsidRPr="004F35D9">
        <w:t xml:space="preserve">members </w:t>
      </w:r>
      <w:r w:rsidR="00C56411" w:rsidRPr="004F35D9">
        <w:t>joined by telephone</w:t>
      </w:r>
      <w:r w:rsidR="008D3A28">
        <w:t>.</w:t>
      </w:r>
      <w:r w:rsidR="008D3A28" w:rsidRPr="004F35D9">
        <w:t xml:space="preserve"> </w:t>
      </w:r>
      <w:r w:rsidR="00A178E6" w:rsidRPr="004F35D9">
        <w:t>Melanie Burleson</w:t>
      </w:r>
      <w:r w:rsidR="00A178E6">
        <w:t xml:space="preserve"> </w:t>
      </w:r>
      <w:r w:rsidR="00346A84">
        <w:t xml:space="preserve">and </w:t>
      </w:r>
      <w:r w:rsidR="00A178E6" w:rsidRPr="004F35D9">
        <w:t xml:space="preserve">Tim Fawver </w:t>
      </w:r>
      <w:r w:rsidR="00FE1762" w:rsidRPr="004F35D9">
        <w:t>w</w:t>
      </w:r>
      <w:r w:rsidR="00346A84">
        <w:t>ere</w:t>
      </w:r>
      <w:r w:rsidR="00FE1762" w:rsidRPr="004F35D9">
        <w:t xml:space="preserve"> absent.</w:t>
      </w:r>
    </w:p>
    <w:p w:rsidR="00D06248" w:rsidRPr="004F35D9" w:rsidRDefault="00D06248">
      <w:pPr>
        <w:ind w:left="360"/>
      </w:pPr>
    </w:p>
    <w:p w:rsidR="007E72A9" w:rsidRPr="004F35D9" w:rsidRDefault="00A14CBD" w:rsidP="006313D4">
      <w:pPr>
        <w:numPr>
          <w:ilvl w:val="0"/>
          <w:numId w:val="1"/>
        </w:numPr>
      </w:pPr>
      <w:r w:rsidRPr="004F35D9">
        <w:t xml:space="preserve">The minutes from the last meeting were approved with no changes. </w:t>
      </w:r>
      <w:r w:rsidR="00205ADD" w:rsidRPr="004F35D9">
        <w:t xml:space="preserve"> </w:t>
      </w:r>
      <w:r w:rsidR="000F616E" w:rsidRPr="004F35D9">
        <w:t xml:space="preserve"> </w:t>
      </w:r>
      <w:r w:rsidR="00E14074" w:rsidRPr="004F35D9">
        <w:br/>
      </w:r>
    </w:p>
    <w:p w:rsidR="00346A84" w:rsidRDefault="00E14074" w:rsidP="006313D4">
      <w:pPr>
        <w:numPr>
          <w:ilvl w:val="0"/>
          <w:numId w:val="1"/>
        </w:numPr>
      </w:pPr>
      <w:r w:rsidRPr="004F35D9">
        <w:t>Policy Software –</w:t>
      </w:r>
      <w:r w:rsidR="009A7153">
        <w:t xml:space="preserve"> </w:t>
      </w:r>
      <w:r w:rsidR="00295084">
        <w:t xml:space="preserve">The </w:t>
      </w:r>
      <w:r w:rsidR="000937BE">
        <w:t xml:space="preserve">HSC </w:t>
      </w:r>
      <w:r w:rsidR="00346A84">
        <w:t>Policy</w:t>
      </w:r>
      <w:r w:rsidR="00B96EFF">
        <w:t xml:space="preserve"> </w:t>
      </w:r>
      <w:r w:rsidR="00346A84">
        <w:t>M</w:t>
      </w:r>
      <w:r w:rsidR="00B96EFF">
        <w:t xml:space="preserve">edical </w:t>
      </w:r>
      <w:r w:rsidR="00346A84">
        <w:t>update</w:t>
      </w:r>
      <w:r w:rsidR="00B96EFF">
        <w:t xml:space="preserve"> </w:t>
      </w:r>
      <w:r w:rsidR="00C33113">
        <w:t>f</w:t>
      </w:r>
      <w:r w:rsidR="00346A84">
        <w:t>rom Melanie:</w:t>
      </w:r>
    </w:p>
    <w:p w:rsidR="00B96EFF" w:rsidRDefault="00B96EFF" w:rsidP="00B96EFF">
      <w:pPr>
        <w:ind w:left="720"/>
      </w:pPr>
    </w:p>
    <w:p w:rsidR="00A178E6" w:rsidRDefault="00346A84" w:rsidP="00A178E6">
      <w:pPr>
        <w:pStyle w:val="ListParagraph"/>
        <w:ind w:left="1440"/>
      </w:pPr>
      <w:r w:rsidRPr="00B96EFF">
        <w:t>The</w:t>
      </w:r>
      <w:r w:rsidR="00A178E6">
        <w:t xml:space="preserve"> next step is to train power users</w:t>
      </w:r>
    </w:p>
    <w:p w:rsidR="00346A84" w:rsidRPr="00B96EFF" w:rsidRDefault="00346A84" w:rsidP="00346A84">
      <w:pPr>
        <w:pStyle w:val="ListParagraph"/>
      </w:pPr>
    </w:p>
    <w:p w:rsidR="000B60B6" w:rsidRPr="00B96EFF" w:rsidRDefault="0043692F" w:rsidP="006D0F68">
      <w:pPr>
        <w:numPr>
          <w:ilvl w:val="0"/>
          <w:numId w:val="1"/>
        </w:numPr>
      </w:pPr>
      <w:r w:rsidRPr="00B96EFF">
        <w:t xml:space="preserve">Policies in the pipeline – </w:t>
      </w:r>
    </w:p>
    <w:p w:rsidR="006D0F68" w:rsidRPr="00B96EFF" w:rsidRDefault="006D0F68" w:rsidP="000B60B6">
      <w:pPr>
        <w:ind w:left="720"/>
      </w:pPr>
      <w:r w:rsidRPr="00B96EFF">
        <w:t>Policies in the pipeline for our committee</w:t>
      </w:r>
    </w:p>
    <w:p w:rsidR="0035710D" w:rsidRPr="00B96EFF" w:rsidRDefault="0035710D" w:rsidP="00924370">
      <w:pPr>
        <w:ind w:left="1440"/>
      </w:pPr>
    </w:p>
    <w:p w:rsidR="00DB18DD" w:rsidRPr="00B96EFF" w:rsidRDefault="00DB18DD" w:rsidP="00C35E57">
      <w:pPr>
        <w:ind w:left="1440"/>
      </w:pPr>
      <w:r w:rsidRPr="00B96EFF">
        <w:t xml:space="preserve">Records management – </w:t>
      </w:r>
      <w:r w:rsidR="00C35E57">
        <w:t xml:space="preserve">Nov 6 </w:t>
      </w:r>
      <w:r w:rsidR="0040310C" w:rsidRPr="00B96EFF">
        <w:t xml:space="preserve">– </w:t>
      </w:r>
      <w:r w:rsidR="00A178E6">
        <w:t xml:space="preserve">We received several comments. Comments were forwarded to committee for consideration. </w:t>
      </w:r>
    </w:p>
    <w:p w:rsidR="00DB18DD" w:rsidRPr="00B96EFF" w:rsidRDefault="0040310C" w:rsidP="00A178E6">
      <w:r w:rsidRPr="00B96EFF">
        <w:t xml:space="preserve">  </w:t>
      </w:r>
    </w:p>
    <w:p w:rsidR="006D0F68" w:rsidRPr="004F35D9" w:rsidRDefault="008C1BD1" w:rsidP="008C1BD1">
      <w:r w:rsidRPr="004F35D9">
        <w:t xml:space="preserve">      </w:t>
      </w:r>
      <w:r w:rsidR="008C6EF1" w:rsidRPr="004F35D9">
        <w:t>5.</w:t>
      </w:r>
      <w:r w:rsidRPr="004F35D9">
        <w:t xml:space="preserve">     </w:t>
      </w:r>
      <w:r w:rsidR="006D0F68" w:rsidRPr="004F35D9">
        <w:t xml:space="preserve">Policies in the pipeline for CBOs </w:t>
      </w:r>
      <w:r w:rsidR="008C6EF1" w:rsidRPr="004F35D9">
        <w:t>– and due dates for comments</w:t>
      </w:r>
    </w:p>
    <w:p w:rsidR="0035710D" w:rsidRDefault="0035710D" w:rsidP="0035710D">
      <w:pPr>
        <w:ind w:left="1440"/>
      </w:pPr>
    </w:p>
    <w:p w:rsidR="00A178E6" w:rsidRDefault="00A178E6" w:rsidP="0035710D">
      <w:pPr>
        <w:ind w:left="1440"/>
      </w:pPr>
      <w:r w:rsidRPr="00B96EFF">
        <w:t>Purchasing</w:t>
      </w:r>
      <w:r>
        <w:t xml:space="preserve"> – Nov 30</w:t>
      </w:r>
    </w:p>
    <w:p w:rsidR="00A178E6" w:rsidRDefault="00A178E6" w:rsidP="0035710D">
      <w:pPr>
        <w:ind w:left="1440"/>
      </w:pPr>
      <w:r>
        <w:t>Contracts</w:t>
      </w:r>
      <w:r>
        <w:t xml:space="preserve"> – Nov 30</w:t>
      </w:r>
    </w:p>
    <w:p w:rsidR="00DB18DD" w:rsidRDefault="00DB18DD" w:rsidP="0035710D">
      <w:pPr>
        <w:ind w:left="1440"/>
      </w:pPr>
      <w:r>
        <w:t xml:space="preserve">Reconciling ledgers – </w:t>
      </w:r>
      <w:r w:rsidR="008D3A28">
        <w:t>S</w:t>
      </w:r>
      <w:r>
        <w:t>eptember 25</w:t>
      </w:r>
      <w:r w:rsidR="008D3A28">
        <w:t xml:space="preserve"> – Comments were received and were sent back to internal audit for consideration. </w:t>
      </w:r>
    </w:p>
    <w:p w:rsidR="00011FFF" w:rsidRDefault="00011FFF" w:rsidP="00011FFF">
      <w:pPr>
        <w:rPr>
          <w:color w:val="1F497D"/>
          <w:sz w:val="22"/>
          <w:szCs w:val="22"/>
        </w:rPr>
      </w:pPr>
    </w:p>
    <w:p w:rsidR="006D0F68" w:rsidRPr="004F35D9" w:rsidRDefault="00BB13F8" w:rsidP="00BB13F8">
      <w:pPr>
        <w:ind w:left="360"/>
      </w:pPr>
      <w:r w:rsidRPr="004F35D9">
        <w:t xml:space="preserve">6. </w:t>
      </w:r>
      <w:r w:rsidR="008C6EF1" w:rsidRPr="004F35D9">
        <w:t xml:space="preserve"> </w:t>
      </w:r>
      <w:r w:rsidR="006D0F68" w:rsidRPr="004F35D9">
        <w:t>Policies Issued since last meeting</w:t>
      </w:r>
    </w:p>
    <w:p w:rsidR="00A178E6" w:rsidRPr="00983ECD" w:rsidRDefault="00A178E6" w:rsidP="00A178E6">
      <w:pPr>
        <w:ind w:left="720" w:firstLine="720"/>
        <w:rPr>
          <w:sz w:val="22"/>
          <w:szCs w:val="22"/>
        </w:rPr>
      </w:pPr>
      <w:r w:rsidRPr="00983ECD">
        <w:t xml:space="preserve">Cost transfer policy </w:t>
      </w:r>
    </w:p>
    <w:p w:rsidR="00A178E6" w:rsidRPr="00983ECD" w:rsidRDefault="00A178E6" w:rsidP="00A178E6">
      <w:r w:rsidRPr="00983ECD">
        <w:t>     </w:t>
      </w:r>
      <w:r w:rsidRPr="00983ECD">
        <w:tab/>
      </w:r>
      <w:r w:rsidRPr="00983ECD">
        <w:tab/>
      </w:r>
      <w:r w:rsidRPr="00983ECD">
        <w:t xml:space="preserve">AP Policy </w:t>
      </w:r>
    </w:p>
    <w:p w:rsidR="00A178E6" w:rsidRPr="00983ECD" w:rsidRDefault="00A178E6" w:rsidP="00A178E6">
      <w:r w:rsidRPr="00983ECD">
        <w:t>    </w:t>
      </w:r>
      <w:r w:rsidRPr="00983ECD">
        <w:tab/>
      </w:r>
      <w:r w:rsidRPr="00983ECD">
        <w:tab/>
      </w:r>
      <w:r w:rsidRPr="00983ECD">
        <w:t xml:space="preserve">Internal Transfers </w:t>
      </w:r>
    </w:p>
    <w:p w:rsidR="00A178E6" w:rsidRPr="00983ECD" w:rsidRDefault="00A178E6" w:rsidP="00A178E6">
      <w:r w:rsidRPr="00983ECD">
        <w:t>    </w:t>
      </w:r>
      <w:r w:rsidRPr="00983ECD">
        <w:tab/>
      </w:r>
      <w:r w:rsidRPr="00983ECD">
        <w:tab/>
      </w:r>
      <w:r w:rsidRPr="00983ECD">
        <w:t xml:space="preserve">Sponsored projects – Salary policy </w:t>
      </w:r>
    </w:p>
    <w:p w:rsidR="00B96EFF" w:rsidRPr="00983ECD" w:rsidRDefault="00B96EFF" w:rsidP="0055070F">
      <w:pPr>
        <w:ind w:left="720" w:firstLine="720"/>
      </w:pPr>
    </w:p>
    <w:p w:rsidR="00DE04F7" w:rsidRDefault="00DE04F7" w:rsidP="007C6C51">
      <w:pPr>
        <w:pStyle w:val="ListParagraph"/>
        <w:numPr>
          <w:ilvl w:val="0"/>
          <w:numId w:val="5"/>
        </w:numPr>
      </w:pPr>
      <w:r>
        <w:t>Other ideas</w:t>
      </w:r>
    </w:p>
    <w:p w:rsidR="00924370" w:rsidRPr="00983ECD" w:rsidRDefault="00924370" w:rsidP="00DE04F7">
      <w:pPr>
        <w:ind w:left="1440"/>
      </w:pPr>
    </w:p>
    <w:p w:rsidR="00011FFF" w:rsidRPr="00983ECD" w:rsidRDefault="00DE04F7" w:rsidP="00DE04F7">
      <w:pPr>
        <w:ind w:left="1440"/>
      </w:pPr>
      <w:r w:rsidRPr="00983ECD">
        <w:t xml:space="preserve">Who should be responsible for reconciling “S” ledgers, departments or the Foundation? </w:t>
      </w:r>
      <w:r w:rsidR="00A178E6" w:rsidRPr="00983ECD">
        <w:t xml:space="preserve">Missy reported that a UT Foundation person came over to the Ag campus and presented </w:t>
      </w:r>
      <w:r w:rsidR="00983ECD" w:rsidRPr="00983ECD">
        <w:t>Foundation A</w:t>
      </w:r>
      <w:r w:rsidR="00A178E6" w:rsidRPr="00983ECD">
        <w:t xml:space="preserve">ccounts 101. This still did not have the donor information. Ron will ask Michael Carter if that is possible.  </w:t>
      </w:r>
    </w:p>
    <w:p w:rsidR="00A178E6" w:rsidRPr="00983ECD" w:rsidRDefault="00A178E6" w:rsidP="00DE04F7">
      <w:pPr>
        <w:ind w:left="1440"/>
      </w:pPr>
    </w:p>
    <w:p w:rsidR="00A91FB7" w:rsidRDefault="00A91FB7" w:rsidP="0041394A">
      <w:pPr>
        <w:pStyle w:val="ListParagraph"/>
        <w:ind w:left="1440"/>
      </w:pPr>
      <w:r>
        <w:t xml:space="preserve">Changes </w:t>
      </w:r>
      <w:r w:rsidR="001B0F67">
        <w:t>have been suggested for the</w:t>
      </w:r>
      <w:r>
        <w:t xml:space="preserve"> subcontract monitoring policy.</w:t>
      </w:r>
    </w:p>
    <w:p w:rsidR="00A91FB7" w:rsidRDefault="00A91FB7" w:rsidP="0041394A">
      <w:pPr>
        <w:pStyle w:val="ListParagraph"/>
        <w:ind w:left="1440"/>
      </w:pPr>
    </w:p>
    <w:p w:rsidR="0039614F" w:rsidRDefault="00C35E57" w:rsidP="0041394A">
      <w:pPr>
        <w:pStyle w:val="ListParagraph"/>
        <w:ind w:left="1440"/>
      </w:pPr>
      <w:r>
        <w:t>The real property folks have the policy on Lease of Real Property.</w:t>
      </w:r>
    </w:p>
    <w:p w:rsidR="00C35E57" w:rsidRDefault="00C35E57" w:rsidP="0041394A">
      <w:pPr>
        <w:pStyle w:val="ListParagraph"/>
        <w:ind w:left="1440"/>
      </w:pPr>
    </w:p>
    <w:p w:rsidR="00C35E57" w:rsidRDefault="00C35E57" w:rsidP="0041394A">
      <w:pPr>
        <w:pStyle w:val="ListParagraph"/>
        <w:ind w:left="1440"/>
      </w:pPr>
      <w:r>
        <w:t xml:space="preserve">Duplication of Instructional Materials is being reviewed by </w:t>
      </w:r>
      <w:r w:rsidR="00D14874">
        <w:t xml:space="preserve">the </w:t>
      </w:r>
      <w:r>
        <w:t xml:space="preserve">attorneys. </w:t>
      </w:r>
    </w:p>
    <w:p w:rsidR="003744F1" w:rsidRDefault="003744F1" w:rsidP="0041394A">
      <w:pPr>
        <w:pStyle w:val="ListParagraph"/>
        <w:ind w:left="1440"/>
      </w:pPr>
    </w:p>
    <w:p w:rsidR="00332134" w:rsidRDefault="00332134" w:rsidP="0041394A">
      <w:pPr>
        <w:pStyle w:val="ListParagraph"/>
        <w:ind w:left="1440"/>
      </w:pPr>
    </w:p>
    <w:p w:rsidR="003744F1" w:rsidRDefault="003744F1" w:rsidP="0041394A">
      <w:pPr>
        <w:pStyle w:val="ListParagraph"/>
        <w:ind w:left="1440"/>
      </w:pPr>
      <w:r>
        <w:lastRenderedPageBreak/>
        <w:t xml:space="preserve">Jonee had been asked why the entertainment policy did not require pre approval of over $1,000 expenses but the P card policy did require pre approval. The group discussed the merits. Mark will investigate and make a recommendation. </w:t>
      </w:r>
    </w:p>
    <w:p w:rsidR="003744F1" w:rsidRDefault="003744F1" w:rsidP="0041394A">
      <w:pPr>
        <w:pStyle w:val="ListParagraph"/>
        <w:ind w:left="1440"/>
      </w:pPr>
    </w:p>
    <w:p w:rsidR="003744F1" w:rsidRDefault="003744F1" w:rsidP="0041394A">
      <w:pPr>
        <w:pStyle w:val="ListParagraph"/>
        <w:ind w:left="1440"/>
      </w:pPr>
      <w:r>
        <w:t>In our discussions of reconciling ledgers</w:t>
      </w:r>
      <w:r w:rsidR="00332134">
        <w:t>,</w:t>
      </w:r>
      <w:r>
        <w:t xml:space="preserve"> the two payroll reports came up</w:t>
      </w:r>
      <w:r w:rsidR="00332134">
        <w:t>,</w:t>
      </w:r>
      <w:r w:rsidR="00332134" w:rsidRPr="00332134">
        <w:rPr>
          <w:color w:val="000000"/>
        </w:rPr>
        <w:t xml:space="preserve"> </w:t>
      </w:r>
      <w:r w:rsidR="00210A6B">
        <w:rPr>
          <w:color w:val="000000"/>
        </w:rPr>
        <w:t xml:space="preserve">the </w:t>
      </w:r>
      <w:r w:rsidR="00332134">
        <w:rPr>
          <w:color w:val="000000"/>
        </w:rPr>
        <w:t>Check Register</w:t>
      </w:r>
      <w:r w:rsidR="00332134">
        <w:rPr>
          <w:color w:val="000000"/>
        </w:rPr>
        <w:t xml:space="preserve"> and </w:t>
      </w:r>
      <w:r w:rsidR="00210A6B">
        <w:rPr>
          <w:color w:val="000000"/>
        </w:rPr>
        <w:t xml:space="preserve">the </w:t>
      </w:r>
      <w:bookmarkStart w:id="0" w:name="_GoBack"/>
      <w:bookmarkEnd w:id="0"/>
      <w:r w:rsidR="00332134">
        <w:rPr>
          <w:color w:val="0D0D0D"/>
        </w:rPr>
        <w:t>Payroll Distribution Report</w:t>
      </w:r>
      <w:r>
        <w:t xml:space="preserve"> and if both were needed. Some thought that the payroll distribution </w:t>
      </w:r>
      <w:r w:rsidR="00332134">
        <w:t xml:space="preserve">report </w:t>
      </w:r>
      <w:r>
        <w:t>is no longer required as that information is now included on the monthly ledgers.</w:t>
      </w:r>
      <w:r w:rsidR="00332134">
        <w:t xml:space="preserve"> Ron will check with Rob Chance. </w:t>
      </w:r>
    </w:p>
    <w:p w:rsidR="00485941" w:rsidRPr="004F35D9" w:rsidRDefault="00485941" w:rsidP="008C1BD1"/>
    <w:p w:rsidR="00D91081" w:rsidRPr="004F35D9" w:rsidRDefault="008C0C0C" w:rsidP="0041394A">
      <w:pPr>
        <w:pStyle w:val="ListParagraph"/>
        <w:numPr>
          <w:ilvl w:val="0"/>
          <w:numId w:val="5"/>
        </w:numPr>
      </w:pPr>
      <w:r w:rsidRPr="004F35D9">
        <w:t xml:space="preserve">The next meeting will be </w:t>
      </w:r>
      <w:r w:rsidR="003744F1">
        <w:t xml:space="preserve">December </w:t>
      </w:r>
      <w:r w:rsidR="0063183D">
        <w:t>1</w:t>
      </w:r>
      <w:r w:rsidR="003744F1">
        <w:t>0</w:t>
      </w:r>
      <w:r w:rsidR="007666D1">
        <w:t>,</w:t>
      </w:r>
      <w:r w:rsidR="004F35D9" w:rsidRPr="004F35D9">
        <w:t xml:space="preserve"> </w:t>
      </w:r>
      <w:r w:rsidR="00364F82">
        <w:t xml:space="preserve">2015 </w:t>
      </w:r>
      <w:r w:rsidRPr="004F35D9">
        <w:t xml:space="preserve">at </w:t>
      </w:r>
      <w:r w:rsidR="00417723" w:rsidRPr="004F35D9">
        <w:t>2</w:t>
      </w:r>
      <w:r w:rsidRPr="004F35D9">
        <w:t xml:space="preserve">:00 PM. </w:t>
      </w:r>
    </w:p>
    <w:sectPr w:rsidR="00D91081" w:rsidRPr="004F35D9" w:rsidSect="00D3010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10E4"/>
    <w:multiLevelType w:val="hybridMultilevel"/>
    <w:tmpl w:val="6CF21160"/>
    <w:lvl w:ilvl="0" w:tplc="63C60F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598"/>
    <w:multiLevelType w:val="hybridMultilevel"/>
    <w:tmpl w:val="2AE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4CE1"/>
    <w:multiLevelType w:val="hybridMultilevel"/>
    <w:tmpl w:val="1264F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562C7"/>
    <w:multiLevelType w:val="hybridMultilevel"/>
    <w:tmpl w:val="901A970C"/>
    <w:lvl w:ilvl="0" w:tplc="0B7E3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B38DE"/>
    <w:multiLevelType w:val="hybridMultilevel"/>
    <w:tmpl w:val="0826F628"/>
    <w:lvl w:ilvl="0" w:tplc="0409000F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28514B"/>
    <w:multiLevelType w:val="hybridMultilevel"/>
    <w:tmpl w:val="F2821DE6"/>
    <w:lvl w:ilvl="0" w:tplc="C3D09EF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236D3"/>
    <w:multiLevelType w:val="hybridMultilevel"/>
    <w:tmpl w:val="0E926E0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A1"/>
    <w:rsid w:val="0000789E"/>
    <w:rsid w:val="00011FFF"/>
    <w:rsid w:val="000144E5"/>
    <w:rsid w:val="0003726D"/>
    <w:rsid w:val="000529FA"/>
    <w:rsid w:val="0006412D"/>
    <w:rsid w:val="00064DFB"/>
    <w:rsid w:val="00065C91"/>
    <w:rsid w:val="0006655A"/>
    <w:rsid w:val="00074C28"/>
    <w:rsid w:val="000811EB"/>
    <w:rsid w:val="000937BE"/>
    <w:rsid w:val="00094448"/>
    <w:rsid w:val="000A025C"/>
    <w:rsid w:val="000A07F4"/>
    <w:rsid w:val="000B1775"/>
    <w:rsid w:val="000B60B6"/>
    <w:rsid w:val="000C0E28"/>
    <w:rsid w:val="000C61CF"/>
    <w:rsid w:val="000F616E"/>
    <w:rsid w:val="000F716B"/>
    <w:rsid w:val="001051AA"/>
    <w:rsid w:val="00110AC1"/>
    <w:rsid w:val="00112F0A"/>
    <w:rsid w:val="00131FA8"/>
    <w:rsid w:val="00142D1A"/>
    <w:rsid w:val="00145DE4"/>
    <w:rsid w:val="0018334F"/>
    <w:rsid w:val="0018571C"/>
    <w:rsid w:val="00197E14"/>
    <w:rsid w:val="001B0F67"/>
    <w:rsid w:val="001B7CB8"/>
    <w:rsid w:val="001C6883"/>
    <w:rsid w:val="00205ADD"/>
    <w:rsid w:val="00207435"/>
    <w:rsid w:val="00210A6B"/>
    <w:rsid w:val="00210AA6"/>
    <w:rsid w:val="002303A5"/>
    <w:rsid w:val="002479B1"/>
    <w:rsid w:val="00254AD9"/>
    <w:rsid w:val="00295084"/>
    <w:rsid w:val="002C2EE4"/>
    <w:rsid w:val="002D1681"/>
    <w:rsid w:val="002D2A1B"/>
    <w:rsid w:val="002D38F7"/>
    <w:rsid w:val="002E1F8F"/>
    <w:rsid w:val="00304D9C"/>
    <w:rsid w:val="00311EC8"/>
    <w:rsid w:val="003311B7"/>
    <w:rsid w:val="00332134"/>
    <w:rsid w:val="00346A84"/>
    <w:rsid w:val="0035211C"/>
    <w:rsid w:val="0035710D"/>
    <w:rsid w:val="00360931"/>
    <w:rsid w:val="00364F82"/>
    <w:rsid w:val="00370502"/>
    <w:rsid w:val="003744F1"/>
    <w:rsid w:val="0039614F"/>
    <w:rsid w:val="003968E4"/>
    <w:rsid w:val="00397309"/>
    <w:rsid w:val="003C55D7"/>
    <w:rsid w:val="003E65A1"/>
    <w:rsid w:val="0040310C"/>
    <w:rsid w:val="0041394A"/>
    <w:rsid w:val="00417723"/>
    <w:rsid w:val="00421B78"/>
    <w:rsid w:val="0043692F"/>
    <w:rsid w:val="00442642"/>
    <w:rsid w:val="00452E7A"/>
    <w:rsid w:val="00456EAD"/>
    <w:rsid w:val="00472D5E"/>
    <w:rsid w:val="004750E7"/>
    <w:rsid w:val="00485941"/>
    <w:rsid w:val="004A0BEC"/>
    <w:rsid w:val="004B0861"/>
    <w:rsid w:val="004B270C"/>
    <w:rsid w:val="004B7921"/>
    <w:rsid w:val="004F35D9"/>
    <w:rsid w:val="00507427"/>
    <w:rsid w:val="00524A91"/>
    <w:rsid w:val="005326EF"/>
    <w:rsid w:val="00536D85"/>
    <w:rsid w:val="0055070F"/>
    <w:rsid w:val="00562A0A"/>
    <w:rsid w:val="00577651"/>
    <w:rsid w:val="00587981"/>
    <w:rsid w:val="005979AE"/>
    <w:rsid w:val="005C11FC"/>
    <w:rsid w:val="00617886"/>
    <w:rsid w:val="0063183D"/>
    <w:rsid w:val="006923C4"/>
    <w:rsid w:val="006A2CAB"/>
    <w:rsid w:val="006D0F68"/>
    <w:rsid w:val="006F6B21"/>
    <w:rsid w:val="0071079A"/>
    <w:rsid w:val="0072266A"/>
    <w:rsid w:val="007252CF"/>
    <w:rsid w:val="007265F1"/>
    <w:rsid w:val="00745A7B"/>
    <w:rsid w:val="007605F0"/>
    <w:rsid w:val="007666D1"/>
    <w:rsid w:val="0077671D"/>
    <w:rsid w:val="007A3C4B"/>
    <w:rsid w:val="007B140D"/>
    <w:rsid w:val="007C6C51"/>
    <w:rsid w:val="007D753A"/>
    <w:rsid w:val="007E72A9"/>
    <w:rsid w:val="00812DEB"/>
    <w:rsid w:val="008320A7"/>
    <w:rsid w:val="00850302"/>
    <w:rsid w:val="00854746"/>
    <w:rsid w:val="00856813"/>
    <w:rsid w:val="008C0C0C"/>
    <w:rsid w:val="008C1BD1"/>
    <w:rsid w:val="008C6EF1"/>
    <w:rsid w:val="008D3A28"/>
    <w:rsid w:val="008D4680"/>
    <w:rsid w:val="00914CA7"/>
    <w:rsid w:val="00924370"/>
    <w:rsid w:val="00930B29"/>
    <w:rsid w:val="00951C2C"/>
    <w:rsid w:val="00956BF8"/>
    <w:rsid w:val="00983ECD"/>
    <w:rsid w:val="009A7153"/>
    <w:rsid w:val="009B2482"/>
    <w:rsid w:val="009D1940"/>
    <w:rsid w:val="009D65B7"/>
    <w:rsid w:val="009E1704"/>
    <w:rsid w:val="009F7294"/>
    <w:rsid w:val="00A14CBD"/>
    <w:rsid w:val="00A1545D"/>
    <w:rsid w:val="00A16ABF"/>
    <w:rsid w:val="00A178E6"/>
    <w:rsid w:val="00A35DB5"/>
    <w:rsid w:val="00A47E7D"/>
    <w:rsid w:val="00A91FB7"/>
    <w:rsid w:val="00AA50E2"/>
    <w:rsid w:val="00AB550A"/>
    <w:rsid w:val="00AD1707"/>
    <w:rsid w:val="00AD6813"/>
    <w:rsid w:val="00AE4F7F"/>
    <w:rsid w:val="00AF214F"/>
    <w:rsid w:val="00B506C2"/>
    <w:rsid w:val="00B70C94"/>
    <w:rsid w:val="00B75B02"/>
    <w:rsid w:val="00B93CAD"/>
    <w:rsid w:val="00B96EFF"/>
    <w:rsid w:val="00BA483A"/>
    <w:rsid w:val="00BB13F8"/>
    <w:rsid w:val="00BC5944"/>
    <w:rsid w:val="00BE6471"/>
    <w:rsid w:val="00C31F52"/>
    <w:rsid w:val="00C33113"/>
    <w:rsid w:val="00C35E57"/>
    <w:rsid w:val="00C45285"/>
    <w:rsid w:val="00C56411"/>
    <w:rsid w:val="00C56803"/>
    <w:rsid w:val="00C573C1"/>
    <w:rsid w:val="00CC7D30"/>
    <w:rsid w:val="00CD0F22"/>
    <w:rsid w:val="00CD712C"/>
    <w:rsid w:val="00CF2D6A"/>
    <w:rsid w:val="00D06248"/>
    <w:rsid w:val="00D14874"/>
    <w:rsid w:val="00D2302F"/>
    <w:rsid w:val="00D30101"/>
    <w:rsid w:val="00D33055"/>
    <w:rsid w:val="00D40FA0"/>
    <w:rsid w:val="00D734E4"/>
    <w:rsid w:val="00D90B73"/>
    <w:rsid w:val="00D91081"/>
    <w:rsid w:val="00DB18DD"/>
    <w:rsid w:val="00DE04F7"/>
    <w:rsid w:val="00E037D9"/>
    <w:rsid w:val="00E047EB"/>
    <w:rsid w:val="00E05851"/>
    <w:rsid w:val="00E14074"/>
    <w:rsid w:val="00E2163B"/>
    <w:rsid w:val="00E23EA0"/>
    <w:rsid w:val="00E44A36"/>
    <w:rsid w:val="00EC58B7"/>
    <w:rsid w:val="00EE3369"/>
    <w:rsid w:val="00EE6B45"/>
    <w:rsid w:val="00F243D0"/>
    <w:rsid w:val="00F403B6"/>
    <w:rsid w:val="00F73CBB"/>
    <w:rsid w:val="00FE1762"/>
    <w:rsid w:val="00FE5DE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3D7D57-EA4C-418C-ACAA-760C86CF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11"/>
    <w:pPr>
      <w:ind w:left="720"/>
    </w:pPr>
  </w:style>
  <w:style w:type="character" w:styleId="Hyperlink">
    <w:name w:val="Hyperlink"/>
    <w:basedOn w:val="DefaultParagraphFont"/>
    <w:uiPriority w:val="99"/>
    <w:unhideWhenUsed/>
    <w:rsid w:val="00064D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Compliance Task Force Recommendations</vt:lpstr>
    </vt:vector>
  </TitlesOfParts>
  <Company>University of Tennessee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Compliance Task Force Recommendations</dc:title>
  <dc:creator>maplesr</dc:creator>
  <cp:lastModifiedBy>Maples, Ron</cp:lastModifiedBy>
  <cp:revision>7</cp:revision>
  <cp:lastPrinted>2015-09-08T20:05:00Z</cp:lastPrinted>
  <dcterms:created xsi:type="dcterms:W3CDTF">2015-11-13T17:30:00Z</dcterms:created>
  <dcterms:modified xsi:type="dcterms:W3CDTF">2015-11-13T21:06:00Z</dcterms:modified>
</cp:coreProperties>
</file>